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0CDD" w14:textId="0524A4C0" w:rsidR="00D87AA7" w:rsidRPr="00F97884" w:rsidRDefault="00AF4080" w:rsidP="008F6306">
      <w:pPr>
        <w:pStyle w:val="VRQADocumentTitle"/>
        <w:spacing w:before="120"/>
        <w:rPr>
          <w:lang w:val="fr-FR"/>
        </w:rPr>
      </w:pPr>
      <w:proofErr w:type="spellStart"/>
      <w:r>
        <w:rPr>
          <w:lang w:val="fr-FR"/>
        </w:rPr>
        <w:t>Requ</w:t>
      </w:r>
      <w:r w:rsidR="002B2820">
        <w:rPr>
          <w:lang w:val="fr-FR"/>
        </w:rPr>
        <w:t>irements</w:t>
      </w:r>
      <w:proofErr w:type="spellEnd"/>
      <w:r w:rsidR="002B2820">
        <w:rPr>
          <w:lang w:val="fr-FR"/>
        </w:rPr>
        <w:t xml:space="preserve"> of home </w:t>
      </w:r>
      <w:proofErr w:type="spellStart"/>
      <w:r w:rsidR="002B2820">
        <w:rPr>
          <w:lang w:val="fr-FR"/>
        </w:rPr>
        <w:t>schooling</w:t>
      </w:r>
      <w:proofErr w:type="spellEnd"/>
      <w:r w:rsidR="002B2820">
        <w:rPr>
          <w:lang w:val="fr-FR"/>
        </w:rPr>
        <w:t xml:space="preserve"> registration</w:t>
      </w:r>
    </w:p>
    <w:p w14:paraId="19AD61C4" w14:textId="2F325442" w:rsidR="00356113" w:rsidRPr="00F97884" w:rsidRDefault="002B2820" w:rsidP="003E7515">
      <w:pPr>
        <w:pStyle w:val="VRQADocumentSubtitle"/>
        <w:rPr>
          <w:lang w:val="fr-FR"/>
        </w:rPr>
      </w:pPr>
      <w:r>
        <w:rPr>
          <w:lang w:val="fr-FR"/>
        </w:rPr>
        <w:t xml:space="preserve">How </w:t>
      </w:r>
      <w:r w:rsidR="00E055CE">
        <w:rPr>
          <w:lang w:val="fr-FR"/>
        </w:rPr>
        <w:t xml:space="preserve">you </w:t>
      </w:r>
      <w:r>
        <w:rPr>
          <w:lang w:val="fr-FR"/>
        </w:rPr>
        <w:t xml:space="preserve">can demonstrate </w:t>
      </w:r>
      <w:r w:rsidR="00E055CE">
        <w:rPr>
          <w:lang w:val="fr-FR"/>
        </w:rPr>
        <w:t>you are meeting the requirements</w:t>
      </w:r>
    </w:p>
    <w:p w14:paraId="511120E7" w14:textId="00C23741" w:rsidR="00CA62A4" w:rsidRPr="00E93269" w:rsidRDefault="00E93269" w:rsidP="00E93269">
      <w:pPr>
        <w:pStyle w:val="VRQABodyText"/>
      </w:pPr>
      <w:r w:rsidRPr="00E93269">
        <w:t>The VRQA conducts home schooling reviews to ensure that the registration</w:t>
      </w:r>
      <w:r w:rsidR="000B21C6">
        <w:t xml:space="preserve"> requirements</w:t>
      </w:r>
      <w:r w:rsidRPr="00E93269">
        <w:t xml:space="preserve"> are being met. The table below summarises the registration requirements that will be assessed as part of the review. This document should be read in conjunction with the</w:t>
      </w:r>
      <w:r w:rsidR="00776E7E">
        <w:t xml:space="preserve"> </w:t>
      </w:r>
      <w:hyperlink r:id="rId13" w:history="1">
        <w:r w:rsidR="00776E7E" w:rsidRPr="006632E3">
          <w:rPr>
            <w:rStyle w:val="Hyperlink"/>
            <w:color w:val="007EB3" w:themeColor="background2"/>
          </w:rPr>
          <w:t>VRQA Home Schooling Assessment Framework and Review Process</w:t>
        </w:r>
      </w:hyperlink>
      <w:r w:rsidR="00752FFA">
        <w:t>.</w:t>
      </w:r>
    </w:p>
    <w:p w14:paraId="05570FBB" w14:textId="14F38432" w:rsidR="00C57EE5" w:rsidRDefault="00CA62A4" w:rsidP="00216BAC">
      <w:pPr>
        <w:pStyle w:val="VRQABodyText"/>
      </w:pPr>
      <w:r>
        <w:t xml:space="preserve">Full elaboration of each requirement can be found in Part 6 Division 2 of the </w:t>
      </w:r>
      <w:hyperlink r:id="rId14" w:history="1">
        <w:r w:rsidR="00832455" w:rsidRPr="006632E3">
          <w:rPr>
            <w:rStyle w:val="Hyperlink"/>
            <w:color w:val="007EB3" w:themeColor="background2"/>
          </w:rPr>
          <w:t>Education and Training Reform Regulations 2017</w:t>
        </w:r>
      </w:hyperlink>
      <w:r w:rsidR="00832455">
        <w:t>.</w:t>
      </w:r>
      <w:r w:rsidR="000912AA">
        <w:t xml:space="preserve"> </w:t>
      </w:r>
    </w:p>
    <w:p w14:paraId="6B90D4F6" w14:textId="12735520" w:rsidR="00822FC9" w:rsidRDefault="00A23181" w:rsidP="00216BAC">
      <w:pPr>
        <w:pStyle w:val="VRQABodyText"/>
      </w:pPr>
      <w:r w:rsidRPr="00483CCB">
        <w:t xml:space="preserve">These Regulations are made under sections 5.10.1 and 5.10.2 and Schedule 5 to the </w:t>
      </w:r>
      <w:r w:rsidRPr="00483CCB">
        <w:rPr>
          <w:i/>
          <w:iCs/>
        </w:rPr>
        <w:t>Education and Training Reform Act 2006</w:t>
      </w:r>
      <w:r w:rsidRPr="00483CCB">
        <w:t xml:space="preserve"> (the Act).</w:t>
      </w:r>
    </w:p>
    <w:tbl>
      <w:tblPr>
        <w:tblStyle w:val="Style1"/>
        <w:tblW w:w="0" w:type="auto"/>
        <w:tblLook w:val="04A0" w:firstRow="1" w:lastRow="0" w:firstColumn="1" w:lastColumn="0" w:noHBand="0" w:noVBand="1"/>
      </w:tblPr>
      <w:tblGrid>
        <w:gridCol w:w="4678"/>
        <w:gridCol w:w="5526"/>
      </w:tblGrid>
      <w:tr w:rsidR="00F13B22" w14:paraId="4228ED8A" w14:textId="77777777" w:rsidTr="006632E3">
        <w:trPr>
          <w:tblHeader/>
        </w:trPr>
        <w:tc>
          <w:tcPr>
            <w:cnfStyle w:val="000000000100" w:firstRow="0" w:lastRow="0" w:firstColumn="0" w:lastColumn="0" w:oddVBand="0" w:evenVBand="0" w:oddHBand="0" w:evenHBand="0" w:firstRowFirstColumn="1" w:firstRowLastColumn="0" w:lastRowFirstColumn="0" w:lastRowLastColumn="0"/>
            <w:tcW w:w="0" w:type="dxa"/>
          </w:tcPr>
          <w:p w14:paraId="186D39CC" w14:textId="0F2B5281" w:rsidR="00F13B22" w:rsidRDefault="005A3431" w:rsidP="00041862">
            <w:pPr>
              <w:pStyle w:val="VRQATableHeading1"/>
            </w:pPr>
            <w:r>
              <w:t>Regulation</w:t>
            </w:r>
            <w:r w:rsidR="005D1EBA">
              <w:t xml:space="preserve"> 76 </w:t>
            </w:r>
            <w:r w:rsidR="00717667">
              <w:br/>
            </w:r>
            <w:r w:rsidR="005D1EBA">
              <w:t>Re</w:t>
            </w:r>
            <w:r w:rsidR="00C33DE1">
              <w:t>quirements of instruction in home schooling</w:t>
            </w:r>
          </w:p>
        </w:tc>
        <w:tc>
          <w:tcPr>
            <w:tcW w:w="0" w:type="dxa"/>
            <w:vAlign w:val="center"/>
          </w:tcPr>
          <w:p w14:paraId="314F16C2" w14:textId="7099A30D" w:rsidR="00F13B22" w:rsidRDefault="005A3431" w:rsidP="004F654E">
            <w:pPr>
              <w:pStyle w:val="VRQATableHeading2"/>
              <w:cnfStyle w:val="000000000000" w:firstRow="0" w:lastRow="0" w:firstColumn="0" w:lastColumn="0" w:oddVBand="0" w:evenVBand="0" w:oddHBand="0" w:evenHBand="0" w:firstRowFirstColumn="0" w:firstRowLastColumn="0" w:lastRowFirstColumn="0" w:lastRowLastColumn="0"/>
            </w:pPr>
            <w:r>
              <w:t>Possible review inclusions</w:t>
            </w:r>
          </w:p>
        </w:tc>
      </w:tr>
      <w:tr w:rsidR="00E055CE" w14:paraId="493A7DFE" w14:textId="77777777" w:rsidTr="004B0C16">
        <w:tc>
          <w:tcPr>
            <w:tcW w:w="10204" w:type="dxa"/>
            <w:gridSpan w:val="2"/>
          </w:tcPr>
          <w:p w14:paraId="2800FEC4" w14:textId="38BCF14A" w:rsidR="00E055CE" w:rsidRDefault="00E055CE" w:rsidP="00486957">
            <w:pPr>
              <w:pStyle w:val="VRQATableHeading2"/>
            </w:pPr>
            <w:r w:rsidRPr="00E055CE">
              <w:rPr>
                <w:color w:val="53565A" w:themeColor="accent6"/>
              </w:rPr>
              <w:t xml:space="preserve">(1) </w:t>
            </w:r>
            <w:r w:rsidRPr="00E055CE">
              <w:rPr>
                <w:b w:val="0"/>
                <w:bCs/>
                <w:color w:val="53565A" w:themeColor="accent6"/>
              </w:rPr>
              <w:t>It is a requirement of registration of a student for home schooling that the student must receive regular and efficient instruction that –</w:t>
            </w:r>
          </w:p>
        </w:tc>
      </w:tr>
      <w:tr w:rsidR="007C1C4E" w14:paraId="129D8FE7" w14:textId="77777777" w:rsidTr="006F3CB5">
        <w:tc>
          <w:tcPr>
            <w:tcW w:w="4678" w:type="dxa"/>
          </w:tcPr>
          <w:p w14:paraId="448203E2" w14:textId="77777777" w:rsidR="00E74441" w:rsidRPr="00A03FED" w:rsidRDefault="00E74441" w:rsidP="00E055CE">
            <w:pPr>
              <w:pStyle w:val="VRQATableBullet1"/>
              <w:numPr>
                <w:ilvl w:val="1"/>
                <w:numId w:val="20"/>
              </w:numPr>
              <w:ind w:left="604"/>
            </w:pPr>
            <w:r w:rsidRPr="00A03FED">
              <w:t xml:space="preserve">Taken as a whole, substantially addresses the learning areas set out in Schedule 1 to the Act, unless the Authority grants </w:t>
            </w:r>
            <w:proofErr w:type="gramStart"/>
            <w:r w:rsidRPr="00A03FED">
              <w:t>an exemption</w:t>
            </w:r>
            <w:proofErr w:type="gramEnd"/>
            <w:r w:rsidRPr="00A03FED">
              <w:t xml:space="preserve"> under </w:t>
            </w:r>
            <w:proofErr w:type="spellStart"/>
            <w:r w:rsidRPr="00A03FED">
              <w:t>subregulation</w:t>
            </w:r>
            <w:proofErr w:type="spellEnd"/>
            <w:r w:rsidRPr="00A03FED">
              <w:t xml:space="preserve"> (3)</w:t>
            </w:r>
          </w:p>
          <w:p w14:paraId="372D918A" w14:textId="20FCDFC4" w:rsidR="00E74441" w:rsidRPr="00A03FED" w:rsidRDefault="00F23EFB" w:rsidP="00A03FED">
            <w:pPr>
              <w:pStyle w:val="VRQATableBodyText"/>
              <w:rPr>
                <w:b/>
                <w:bCs/>
              </w:rPr>
            </w:pPr>
            <w:r w:rsidRPr="00A03FED">
              <w:rPr>
                <w:b/>
                <w:bCs/>
              </w:rPr>
              <w:t xml:space="preserve">Learning areas in Schedule 1 to the Act: English, Mathematics, Humanities and social sciences (including history, geography, economics, business, civics and citizenship), </w:t>
            </w:r>
            <w:r w:rsidR="00CE7F7B" w:rsidRPr="00A03FED">
              <w:rPr>
                <w:b/>
                <w:bCs/>
              </w:rPr>
              <w:t>S</w:t>
            </w:r>
            <w:r w:rsidRPr="00A03FED">
              <w:rPr>
                <w:b/>
                <w:bCs/>
              </w:rPr>
              <w:t xml:space="preserve">ciences (including physics, chemistry and biology), </w:t>
            </w:r>
            <w:r w:rsidR="00CE7F7B" w:rsidRPr="00A03FED">
              <w:rPr>
                <w:b/>
                <w:bCs/>
              </w:rPr>
              <w:t>H</w:t>
            </w:r>
            <w:r w:rsidRPr="00A03FED">
              <w:rPr>
                <w:b/>
                <w:bCs/>
              </w:rPr>
              <w:t xml:space="preserve">ealth and </w:t>
            </w:r>
            <w:r w:rsidR="00CE7F7B" w:rsidRPr="00A03FED">
              <w:rPr>
                <w:b/>
                <w:bCs/>
              </w:rPr>
              <w:t>P</w:t>
            </w:r>
            <w:r w:rsidRPr="00A03FED">
              <w:rPr>
                <w:b/>
                <w:bCs/>
              </w:rPr>
              <w:t xml:space="preserve">hysical </w:t>
            </w:r>
            <w:r w:rsidR="00CE7F7B" w:rsidRPr="00A03FED">
              <w:rPr>
                <w:b/>
                <w:bCs/>
              </w:rPr>
              <w:t>E</w:t>
            </w:r>
            <w:r w:rsidRPr="00A03FED">
              <w:rPr>
                <w:b/>
                <w:bCs/>
              </w:rPr>
              <w:t xml:space="preserve">ducation, the arts, </w:t>
            </w:r>
            <w:r w:rsidR="00CE7F7B" w:rsidRPr="00A03FED">
              <w:rPr>
                <w:b/>
                <w:bCs/>
              </w:rPr>
              <w:t>L</w:t>
            </w:r>
            <w:r w:rsidRPr="00A03FED">
              <w:rPr>
                <w:b/>
                <w:bCs/>
              </w:rPr>
              <w:t xml:space="preserve">anguages, and </w:t>
            </w:r>
            <w:r w:rsidR="00CE7F7B" w:rsidRPr="00A03FED">
              <w:rPr>
                <w:b/>
                <w:bCs/>
              </w:rPr>
              <w:t xml:space="preserve">Information and </w:t>
            </w:r>
            <w:r w:rsidR="00947876" w:rsidRPr="00A03FED">
              <w:rPr>
                <w:b/>
                <w:bCs/>
              </w:rPr>
              <w:t>communication technology and design and technology</w:t>
            </w:r>
            <w:r w:rsidRPr="00A03FED">
              <w:rPr>
                <w:b/>
                <w:bCs/>
              </w:rPr>
              <w:t>.</w:t>
            </w:r>
          </w:p>
        </w:tc>
        <w:tc>
          <w:tcPr>
            <w:tcW w:w="5526" w:type="dxa"/>
          </w:tcPr>
          <w:p w14:paraId="465C8AF7" w14:textId="561EE5F1" w:rsidR="00DD5003" w:rsidRPr="00E055CE" w:rsidRDefault="00DD5003" w:rsidP="00DD5003">
            <w:pPr>
              <w:pStyle w:val="VRQATableBodyText"/>
              <w:rPr>
                <w:color w:val="888B8D" w:themeColor="background1"/>
              </w:rPr>
            </w:pPr>
            <w:r w:rsidRPr="00E055CE">
              <w:rPr>
                <w:color w:val="888B8D" w:themeColor="background1"/>
              </w:rPr>
              <w:t xml:space="preserve">Parents can demonstrate regular and efficient instruction by providing discussion of learning (verbal or written), extracts from calendar/journal/diary or any other </w:t>
            </w:r>
            <w:r w:rsidR="00E055CE" w:rsidRPr="00E055CE">
              <w:rPr>
                <w:color w:val="888B8D" w:themeColor="background1"/>
              </w:rPr>
              <w:t>evidence</w:t>
            </w:r>
            <w:r w:rsidRPr="00E055CE">
              <w:rPr>
                <w:color w:val="888B8D" w:themeColor="background1"/>
              </w:rPr>
              <w:t>.</w:t>
            </w:r>
          </w:p>
          <w:p w14:paraId="6BAEFDA7" w14:textId="59325C6C" w:rsidR="00DD5003" w:rsidRPr="00E055CE" w:rsidRDefault="00DD5003" w:rsidP="00DD5003">
            <w:pPr>
              <w:pStyle w:val="VRQATableBodyText"/>
              <w:rPr>
                <w:color w:val="888B8D" w:themeColor="background1"/>
              </w:rPr>
            </w:pPr>
            <w:r w:rsidRPr="00E055CE">
              <w:rPr>
                <w:color w:val="888B8D" w:themeColor="background1"/>
              </w:rPr>
              <w:t xml:space="preserve">Parents can demonstrate how their child has received instruction that substantially addresses the learning areas by providing </w:t>
            </w:r>
            <w:r w:rsidR="00E055CE">
              <w:rPr>
                <w:color w:val="888B8D" w:themeColor="background1"/>
              </w:rPr>
              <w:t>information about</w:t>
            </w:r>
            <w:r w:rsidRPr="00E055CE">
              <w:rPr>
                <w:color w:val="888B8D" w:themeColor="background1"/>
              </w:rPr>
              <w:t xml:space="preserve"> learning (verbal or written), examples of learning, photographs/videos/sound recordings of learning activities, records of </w:t>
            </w:r>
            <w:r w:rsidR="00E055CE">
              <w:rPr>
                <w:color w:val="888B8D" w:themeColor="background1"/>
              </w:rPr>
              <w:t xml:space="preserve">your </w:t>
            </w:r>
            <w:r w:rsidRPr="00E055CE">
              <w:rPr>
                <w:color w:val="888B8D" w:themeColor="background1"/>
              </w:rPr>
              <w:t>child</w:t>
            </w:r>
            <w:r w:rsidR="00E055CE">
              <w:rPr>
                <w:color w:val="888B8D" w:themeColor="background1"/>
              </w:rPr>
              <w:t>’s learning</w:t>
            </w:r>
            <w:r w:rsidRPr="00E055CE">
              <w:rPr>
                <w:color w:val="888B8D" w:themeColor="background1"/>
              </w:rPr>
              <w:t xml:space="preserve"> outcomes or any other </w:t>
            </w:r>
            <w:r w:rsidR="00E055CE">
              <w:rPr>
                <w:color w:val="888B8D" w:themeColor="background1"/>
              </w:rPr>
              <w:t>evidence</w:t>
            </w:r>
            <w:r w:rsidRPr="00E055CE">
              <w:rPr>
                <w:color w:val="888B8D" w:themeColor="background1"/>
              </w:rPr>
              <w:t xml:space="preserve">. </w:t>
            </w:r>
          </w:p>
          <w:p w14:paraId="6A351CC5" w14:textId="4B024957" w:rsidR="007C1C4E" w:rsidRDefault="00DD5003" w:rsidP="00E055CE">
            <w:pPr>
              <w:pStyle w:val="VRQATableBodyText"/>
            </w:pPr>
            <w:r w:rsidRPr="00E055CE">
              <w:rPr>
                <w:color w:val="888B8D" w:themeColor="background1"/>
              </w:rPr>
              <w:t xml:space="preserve">Parents are not required to provide evidence of all methods listed above. </w:t>
            </w:r>
            <w:r w:rsidR="00E055CE">
              <w:rPr>
                <w:color w:val="888B8D" w:themeColor="background1"/>
              </w:rPr>
              <w:t>However, a</w:t>
            </w:r>
            <w:r w:rsidRPr="00E055CE">
              <w:rPr>
                <w:color w:val="888B8D" w:themeColor="background1"/>
              </w:rPr>
              <w:t xml:space="preserve"> combination of </w:t>
            </w:r>
            <w:r w:rsidR="00E055CE">
              <w:rPr>
                <w:color w:val="888B8D" w:themeColor="background1"/>
              </w:rPr>
              <w:t>evidence</w:t>
            </w:r>
            <w:r w:rsidRPr="00E055CE">
              <w:rPr>
                <w:color w:val="888B8D" w:themeColor="background1"/>
              </w:rPr>
              <w:t xml:space="preserve"> may be required to demonstrate that this requirement of registration </w:t>
            </w:r>
            <w:proofErr w:type="gramStart"/>
            <w:r w:rsidRPr="00E055CE">
              <w:rPr>
                <w:color w:val="888B8D" w:themeColor="background1"/>
              </w:rPr>
              <w:t>ha</w:t>
            </w:r>
            <w:r w:rsidR="00E055CE">
              <w:rPr>
                <w:color w:val="888B8D" w:themeColor="background1"/>
              </w:rPr>
              <w:t>ve</w:t>
            </w:r>
            <w:proofErr w:type="gramEnd"/>
            <w:r w:rsidRPr="00E055CE">
              <w:rPr>
                <w:color w:val="888B8D" w:themeColor="background1"/>
              </w:rPr>
              <w:t xml:space="preserve"> been met.</w:t>
            </w:r>
          </w:p>
        </w:tc>
      </w:tr>
      <w:tr w:rsidR="007C1C4E" w14:paraId="54C500CC" w14:textId="77777777" w:rsidTr="006F3CB5">
        <w:tc>
          <w:tcPr>
            <w:tcW w:w="4678" w:type="dxa"/>
          </w:tcPr>
          <w:p w14:paraId="41A65EB2" w14:textId="5DB26205" w:rsidR="007C1C4E" w:rsidRDefault="00147E2C" w:rsidP="00E055CE">
            <w:pPr>
              <w:pStyle w:val="VRQATableBodyText"/>
              <w:numPr>
                <w:ilvl w:val="1"/>
                <w:numId w:val="20"/>
              </w:numPr>
              <w:ind w:left="604"/>
            </w:pPr>
            <w:r w:rsidRPr="00F8587E">
              <w:t xml:space="preserve">Is consistent with the principles underlying the Act, being the principles and practice of Australian </w:t>
            </w:r>
            <w:r w:rsidRPr="00F8587E">
              <w:rPr>
                <w:b/>
              </w:rPr>
              <w:t>democracy,</w:t>
            </w:r>
            <w:r w:rsidRPr="00F8587E">
              <w:t xml:space="preserve"> including the principles under section 1.2.1(a) of the Act</w:t>
            </w:r>
          </w:p>
        </w:tc>
        <w:tc>
          <w:tcPr>
            <w:tcW w:w="5526" w:type="dxa"/>
          </w:tcPr>
          <w:p w14:paraId="268B9AF9" w14:textId="11CA8494" w:rsidR="007C1C4E" w:rsidRDefault="00E843BA" w:rsidP="00E843BA">
            <w:pPr>
              <w:pStyle w:val="VRQATableBodyText"/>
            </w:pPr>
            <w:r w:rsidRPr="00E055CE">
              <w:rPr>
                <w:color w:val="888B8D" w:themeColor="background1"/>
              </w:rPr>
              <w:t>Parents can demonstrate that they have met this requirement by demonstrating their learning as outlined at 1(a)</w:t>
            </w:r>
          </w:p>
        </w:tc>
      </w:tr>
      <w:tr w:rsidR="007C1C4E" w14:paraId="245F2EAC" w14:textId="77777777" w:rsidTr="006F3CB5">
        <w:tc>
          <w:tcPr>
            <w:tcW w:w="4678" w:type="dxa"/>
          </w:tcPr>
          <w:p w14:paraId="381FAF32" w14:textId="6E7A748F" w:rsidR="00337F41" w:rsidRPr="00E055CE" w:rsidRDefault="00337F41" w:rsidP="00E055CE">
            <w:pPr>
              <w:pStyle w:val="VRQATableBodyText"/>
              <w:pageBreakBefore/>
              <w:numPr>
                <w:ilvl w:val="0"/>
                <w:numId w:val="20"/>
              </w:numPr>
              <w:ind w:left="462" w:hanging="425"/>
              <w:rPr>
                <w:color w:val="53565A" w:themeColor="accent6"/>
              </w:rPr>
            </w:pPr>
            <w:r w:rsidRPr="00E055CE">
              <w:rPr>
                <w:color w:val="53565A" w:themeColor="accent6"/>
              </w:rPr>
              <w:lastRenderedPageBreak/>
              <w:t xml:space="preserve">The parent responsible for the home schooling of a student may make an application to the Authority for an exemption under </w:t>
            </w:r>
            <w:proofErr w:type="spellStart"/>
            <w:r w:rsidRPr="00E055CE">
              <w:rPr>
                <w:color w:val="53565A" w:themeColor="accent6"/>
              </w:rPr>
              <w:t>subregulation</w:t>
            </w:r>
            <w:proofErr w:type="spellEnd"/>
            <w:r w:rsidR="00623F80">
              <w:rPr>
                <w:color w:val="53565A" w:themeColor="accent6"/>
              </w:rPr>
              <w:t> </w:t>
            </w:r>
            <w:r w:rsidRPr="00E055CE">
              <w:rPr>
                <w:color w:val="53565A" w:themeColor="accent6"/>
              </w:rPr>
              <w:t>(3)</w:t>
            </w:r>
          </w:p>
          <w:p w14:paraId="24BC70BF" w14:textId="267FCAC3" w:rsidR="007C1C4E" w:rsidRPr="00E055CE" w:rsidRDefault="001467EE" w:rsidP="00E055CE">
            <w:pPr>
              <w:pStyle w:val="VRQATableBodyText"/>
              <w:numPr>
                <w:ilvl w:val="0"/>
                <w:numId w:val="25"/>
              </w:numPr>
              <w:ind w:left="462" w:hanging="425"/>
            </w:pPr>
            <w:r w:rsidRPr="00E055CE">
              <w:rPr>
                <w:color w:val="53565A" w:themeColor="accent6"/>
              </w:rPr>
              <w:t>T</w:t>
            </w:r>
            <w:r w:rsidR="00337F41" w:rsidRPr="00E055CE">
              <w:rPr>
                <w:color w:val="53565A" w:themeColor="accent6"/>
              </w:rPr>
              <w:t xml:space="preserve">he Authority must not grant an exemption under </w:t>
            </w:r>
            <w:proofErr w:type="spellStart"/>
            <w:r w:rsidR="00337F41" w:rsidRPr="00E055CE">
              <w:rPr>
                <w:color w:val="53565A" w:themeColor="accent6"/>
              </w:rPr>
              <w:t>subregulation</w:t>
            </w:r>
            <w:proofErr w:type="spellEnd"/>
            <w:r w:rsidR="00337F41" w:rsidRPr="00E055CE">
              <w:rPr>
                <w:color w:val="53565A" w:themeColor="accent6"/>
              </w:rPr>
              <w:t xml:space="preserve"> (3) unless the Authority is satisfied that it would be unreasonable to require the student to receive</w:t>
            </w:r>
            <w:r w:rsidR="00364C19" w:rsidRPr="00E055CE">
              <w:rPr>
                <w:color w:val="53565A" w:themeColor="accent6"/>
              </w:rPr>
              <w:t xml:space="preserve"> instruction in a learning area or areas set out in Schedule 1 to the Act.</w:t>
            </w:r>
          </w:p>
        </w:tc>
        <w:tc>
          <w:tcPr>
            <w:tcW w:w="5526" w:type="dxa"/>
          </w:tcPr>
          <w:p w14:paraId="6FF17371" w14:textId="73736D47" w:rsidR="00E055CE" w:rsidRDefault="006346C7" w:rsidP="006346C7">
            <w:pPr>
              <w:pStyle w:val="VRQATableBodyText"/>
              <w:rPr>
                <w:color w:val="888B8D" w:themeColor="background1"/>
              </w:rPr>
            </w:pPr>
            <w:r w:rsidRPr="00E055CE">
              <w:rPr>
                <w:color w:val="888B8D" w:themeColor="background1"/>
              </w:rPr>
              <w:t xml:space="preserve">The officer conducting the review may request information </w:t>
            </w:r>
            <w:r w:rsidR="00E055CE">
              <w:rPr>
                <w:color w:val="888B8D" w:themeColor="background1"/>
              </w:rPr>
              <w:t>about all</w:t>
            </w:r>
            <w:r w:rsidRPr="00E055CE">
              <w:rPr>
                <w:color w:val="888B8D" w:themeColor="background1"/>
              </w:rPr>
              <w:t xml:space="preserve"> </w:t>
            </w:r>
            <w:r w:rsidR="006632E3">
              <w:rPr>
                <w:color w:val="888B8D" w:themeColor="background1"/>
              </w:rPr>
              <w:t>8</w:t>
            </w:r>
            <w:r w:rsidR="006632E3" w:rsidRPr="00E055CE">
              <w:rPr>
                <w:color w:val="888B8D" w:themeColor="background1"/>
              </w:rPr>
              <w:t xml:space="preserve"> </w:t>
            </w:r>
            <w:r w:rsidRPr="00E055CE">
              <w:rPr>
                <w:color w:val="888B8D" w:themeColor="background1"/>
              </w:rPr>
              <w:t xml:space="preserve">learning areas. </w:t>
            </w:r>
          </w:p>
          <w:p w14:paraId="6C3E12AC" w14:textId="755C32FC" w:rsidR="007C1C4E" w:rsidRDefault="00E055CE" w:rsidP="00E055CE">
            <w:pPr>
              <w:pStyle w:val="VRQAsubhead1"/>
              <w:spacing w:before="60" w:after="60"/>
            </w:pPr>
            <w:r w:rsidRPr="00E055CE">
              <w:rPr>
                <w:b w:val="0"/>
                <w:color w:val="888B8D" w:themeColor="background1"/>
                <w:sz w:val="18"/>
                <w:szCs w:val="18"/>
              </w:rPr>
              <w:t xml:space="preserve">If you have been granted an exemption from delivering </w:t>
            </w:r>
            <w:r w:rsidR="001C54F3">
              <w:rPr>
                <w:b w:val="0"/>
                <w:color w:val="888B8D" w:themeColor="background1"/>
                <w:sz w:val="18"/>
                <w:szCs w:val="18"/>
              </w:rPr>
              <w:t xml:space="preserve">any </w:t>
            </w:r>
            <w:r w:rsidRPr="00E055CE">
              <w:rPr>
                <w:b w:val="0"/>
                <w:color w:val="888B8D" w:themeColor="background1"/>
                <w:sz w:val="18"/>
                <w:szCs w:val="18"/>
              </w:rPr>
              <w:t xml:space="preserve">learning areas, please let the officer know or include this information </w:t>
            </w:r>
            <w:r w:rsidR="00004764">
              <w:rPr>
                <w:b w:val="0"/>
                <w:color w:val="888B8D" w:themeColor="background1"/>
                <w:sz w:val="18"/>
                <w:szCs w:val="18"/>
              </w:rPr>
              <w:t>on the template</w:t>
            </w:r>
            <w:r w:rsidRPr="00E055CE">
              <w:rPr>
                <w:b w:val="0"/>
                <w:color w:val="888B8D" w:themeColor="background1"/>
                <w:sz w:val="18"/>
                <w:szCs w:val="18"/>
              </w:rPr>
              <w:t>.</w:t>
            </w:r>
          </w:p>
        </w:tc>
      </w:tr>
      <w:tr w:rsidR="00126B5D" w14:paraId="6DCF201C" w14:textId="77777777" w:rsidTr="006632E3">
        <w:trPr>
          <w:tblHeader/>
        </w:trPr>
        <w:tc>
          <w:tcPr>
            <w:tcW w:w="0" w:type="dxa"/>
            <w:shd w:val="clear" w:color="auto" w:fill="103D64" w:themeFill="text2"/>
          </w:tcPr>
          <w:p w14:paraId="7F0A6D24" w14:textId="162CFAC3" w:rsidR="00126B5D" w:rsidRDefault="00126B5D" w:rsidP="0032224A">
            <w:pPr>
              <w:pStyle w:val="VRQATableHeading1"/>
            </w:pPr>
            <w:r>
              <w:t xml:space="preserve">Regulation 77 </w:t>
            </w:r>
            <w:r>
              <w:br/>
              <w:t xml:space="preserve">Requirement to </w:t>
            </w:r>
            <w:r w:rsidR="006E4C0A">
              <w:t xml:space="preserve">notify </w:t>
            </w:r>
            <w:r w:rsidR="000B21C6">
              <w:t xml:space="preserve">the </w:t>
            </w:r>
            <w:r w:rsidR="00FD7341">
              <w:t>Authority of changes to circumstances</w:t>
            </w:r>
          </w:p>
        </w:tc>
        <w:tc>
          <w:tcPr>
            <w:tcW w:w="0" w:type="dxa"/>
            <w:vAlign w:val="center"/>
          </w:tcPr>
          <w:p w14:paraId="4E09ECD2" w14:textId="77777777" w:rsidR="00126B5D" w:rsidRDefault="00126B5D" w:rsidP="004F654E">
            <w:pPr>
              <w:pStyle w:val="VRQATableHeading2"/>
            </w:pPr>
            <w:r>
              <w:t>Possible review inclusions</w:t>
            </w:r>
          </w:p>
        </w:tc>
      </w:tr>
      <w:tr w:rsidR="00126B5D" w14:paraId="07063AA7" w14:textId="77777777" w:rsidTr="0032224A">
        <w:tc>
          <w:tcPr>
            <w:tcW w:w="4678" w:type="dxa"/>
          </w:tcPr>
          <w:p w14:paraId="3E0FBA9F" w14:textId="2F9C7B08" w:rsidR="00126B5D" w:rsidRPr="00787A3D" w:rsidRDefault="00787A3D" w:rsidP="00787A3D">
            <w:pPr>
              <w:pStyle w:val="VRQATableBodyText"/>
            </w:pPr>
            <w:r w:rsidRPr="00787A3D">
              <w:t xml:space="preserve">Responsible </w:t>
            </w:r>
            <w:proofErr w:type="gramStart"/>
            <w:r w:rsidRPr="00787A3D">
              <w:t>parent</w:t>
            </w:r>
            <w:proofErr w:type="gramEnd"/>
            <w:r w:rsidRPr="00787A3D">
              <w:t xml:space="preserve"> must notify</w:t>
            </w:r>
            <w:r w:rsidR="00623F80">
              <w:t xml:space="preserve"> the</w:t>
            </w:r>
            <w:r w:rsidRPr="00787A3D">
              <w:t xml:space="preserve"> Authority of changes to child name, responsible parent, parent name and contact details, address of home schooling.</w:t>
            </w:r>
          </w:p>
        </w:tc>
        <w:tc>
          <w:tcPr>
            <w:tcW w:w="5526" w:type="dxa"/>
          </w:tcPr>
          <w:p w14:paraId="5B3B7A4F" w14:textId="77777777" w:rsidR="007D2CA7" w:rsidRPr="00E055CE" w:rsidRDefault="007D2CA7" w:rsidP="007D2CA7">
            <w:pPr>
              <w:pStyle w:val="VRQATableBodyText"/>
              <w:rPr>
                <w:color w:val="888B8D" w:themeColor="background1"/>
              </w:rPr>
            </w:pPr>
            <w:r w:rsidRPr="00E055CE">
              <w:rPr>
                <w:color w:val="888B8D" w:themeColor="background1"/>
              </w:rPr>
              <w:t xml:space="preserve">Parents can demonstrate that they have met this requirement by confirming the contact details as part of their acknowledgement of the review. </w:t>
            </w:r>
          </w:p>
          <w:p w14:paraId="628B8B4C" w14:textId="77777777" w:rsidR="00E055CE" w:rsidRPr="00E055CE" w:rsidRDefault="00E055CE" w:rsidP="00E055CE">
            <w:pPr>
              <w:pStyle w:val="VRQAsubhead1"/>
              <w:spacing w:before="60" w:after="60"/>
              <w:rPr>
                <w:b w:val="0"/>
                <w:bCs/>
                <w:color w:val="888B8D" w:themeColor="background1"/>
                <w:sz w:val="18"/>
                <w:szCs w:val="18"/>
                <w:lang w:val="en-AU"/>
              </w:rPr>
            </w:pPr>
            <w:r w:rsidRPr="00E055CE">
              <w:rPr>
                <w:b w:val="0"/>
                <w:bCs/>
                <w:color w:val="888B8D" w:themeColor="background1"/>
                <w:sz w:val="18"/>
                <w:szCs w:val="18"/>
                <w:lang w:val="en-AU"/>
              </w:rPr>
              <w:t>Parents must also tell the VRQA if any of these details change.</w:t>
            </w:r>
          </w:p>
          <w:p w14:paraId="7C7747B1" w14:textId="787DBED3" w:rsidR="00126B5D" w:rsidRDefault="007D2CA7" w:rsidP="007D2CA7">
            <w:pPr>
              <w:pStyle w:val="VRQATableBodyText"/>
            </w:pPr>
            <w:r w:rsidRPr="00E055CE">
              <w:rPr>
                <w:color w:val="888B8D" w:themeColor="background1"/>
              </w:rPr>
              <w:t>The officer conducting the review will also check these details at the time of review. This will include checking whether any Court Orders are in place or whether they have been updated as this can impact on who is considered the responsible parent.</w:t>
            </w:r>
          </w:p>
        </w:tc>
      </w:tr>
    </w:tbl>
    <w:p w14:paraId="2C009EC9" w14:textId="16619FD5" w:rsidR="002B48E2" w:rsidRPr="00A015C4" w:rsidRDefault="002B48E2" w:rsidP="00801ED4">
      <w:pPr>
        <w:pStyle w:val="VRQAcaptionsandfootnotes"/>
      </w:pPr>
    </w:p>
    <w:sectPr w:rsidR="002B48E2" w:rsidRPr="00A015C4" w:rsidSect="008F6306">
      <w:headerReference w:type="default" r:id="rId15"/>
      <w:footerReference w:type="default" r:id="rId16"/>
      <w:headerReference w:type="first" r:id="rId17"/>
      <w:footerReference w:type="first" r:id="rId18"/>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DA2D" w14:textId="77777777" w:rsidR="003F140E" w:rsidRDefault="003F140E" w:rsidP="001B2A4B">
      <w:pPr>
        <w:spacing w:after="0" w:line="240" w:lineRule="auto"/>
      </w:pPr>
      <w:r>
        <w:separator/>
      </w:r>
    </w:p>
  </w:endnote>
  <w:endnote w:type="continuationSeparator" w:id="0">
    <w:p w14:paraId="21FEE161" w14:textId="77777777" w:rsidR="003F140E" w:rsidRDefault="003F140E"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469810"/>
      <w:docPartObj>
        <w:docPartGallery w:val="Page Numbers (Bottom of Page)"/>
        <w:docPartUnique/>
      </w:docPartObj>
    </w:sdtPr>
    <w:sdtEndPr>
      <w:rPr>
        <w:noProof/>
      </w:rPr>
    </w:sdtEndPr>
    <w:sdtContent>
      <w:p w14:paraId="51B7B52F" w14:textId="5622F2C7" w:rsidR="003656F9" w:rsidRPr="00C7383C" w:rsidRDefault="007E5BC4" w:rsidP="001F1BAE">
        <w:pPr>
          <w:pStyle w:val="VRQAFooterNoLogo"/>
          <w:tabs>
            <w:tab w:val="clear" w:pos="9026"/>
            <w:tab w:val="right" w:pos="9923"/>
          </w:tabs>
        </w:pPr>
        <w:r>
          <w:t xml:space="preserve">Requirements of </w:t>
        </w:r>
        <w:proofErr w:type="gramStart"/>
        <w:r>
          <w:t>home schooling</w:t>
        </w:r>
        <w:proofErr w:type="gramEnd"/>
        <w:r>
          <w:t xml:space="preserve"> registration</w:t>
        </w:r>
        <w:r w:rsidR="00E055CE">
          <w:t xml:space="preserve"> </w:t>
        </w:r>
        <w:r w:rsidR="00E055CE">
          <w:rPr>
            <w:lang w:val="en-US"/>
          </w:rPr>
          <w:t>– September 2025</w:t>
        </w:r>
        <w:r w:rsidR="003656F9">
          <w:tab/>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C217C" w14:textId="55D36EC7" w:rsidR="003656F9" w:rsidRPr="001F1BAE" w:rsidRDefault="003E2F1E" w:rsidP="001F1BAE">
    <w:pPr>
      <w:pStyle w:val="VRQAFooterNoLogo"/>
      <w:tabs>
        <w:tab w:val="clear" w:pos="9026"/>
        <w:tab w:val="right" w:pos="9781"/>
      </w:tabs>
      <w:rPr>
        <w:lang w:val="en-US"/>
      </w:rPr>
    </w:pPr>
    <w:r>
      <w:rPr>
        <w:lang w:val="en-US"/>
      </w:rPr>
      <w:t xml:space="preserve">Requirements of </w:t>
    </w:r>
    <w:proofErr w:type="gramStart"/>
    <w:r>
      <w:rPr>
        <w:lang w:val="en-US"/>
      </w:rPr>
      <w:t>home schooling</w:t>
    </w:r>
    <w:proofErr w:type="gramEnd"/>
    <w:r>
      <w:rPr>
        <w:lang w:val="en-US"/>
      </w:rPr>
      <w:t xml:space="preserve"> registration</w:t>
    </w:r>
    <w:r w:rsidR="00E055CE">
      <w:rPr>
        <w:lang w:val="en-US"/>
      </w:rPr>
      <w:t xml:space="preserve"> – September 2025</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r w:rsidR="001F1BA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FA4B" w14:textId="77777777" w:rsidR="003F140E" w:rsidRDefault="003F140E" w:rsidP="001B2A4B">
      <w:pPr>
        <w:spacing w:after="0" w:line="240" w:lineRule="auto"/>
      </w:pPr>
      <w:r>
        <w:separator/>
      </w:r>
    </w:p>
  </w:footnote>
  <w:footnote w:type="continuationSeparator" w:id="0">
    <w:p w14:paraId="43FFAAC1" w14:textId="77777777" w:rsidR="003F140E" w:rsidRDefault="003F140E"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2FDE" w14:textId="6B7CD3FA" w:rsidR="003656F9" w:rsidRDefault="003656F9" w:rsidP="001F1BAE">
    <w:r w:rsidRPr="00856727">
      <w:rPr>
        <w:noProof/>
      </w:rPr>
      <w:drawing>
        <wp:anchor distT="0" distB="0" distL="114300" distR="114300" simplePos="0" relativeHeight="251659264" behindDoc="1" locked="0" layoutInCell="1" allowOverlap="1" wp14:anchorId="7B94226D" wp14:editId="5B88FB04">
          <wp:simplePos x="0" y="0"/>
          <wp:positionH relativeFrom="column">
            <wp:posOffset>-146685</wp:posOffset>
          </wp:positionH>
          <wp:positionV relativeFrom="page">
            <wp:posOffset>228600</wp:posOffset>
          </wp:positionV>
          <wp:extent cx="6731000" cy="93218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AE61"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121F1A1E" wp14:editId="31129F5F">
          <wp:simplePos x="0" y="0"/>
          <wp:positionH relativeFrom="margin">
            <wp:posOffset>-635</wp:posOffset>
          </wp:positionH>
          <wp:positionV relativeFrom="paragraph">
            <wp:posOffset>-399415</wp:posOffset>
          </wp:positionV>
          <wp:extent cx="1644650" cy="1073942"/>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17CDA13C" wp14:editId="3278CDF6">
          <wp:simplePos x="0" y="0"/>
          <wp:positionH relativeFrom="column">
            <wp:posOffset>5123815</wp:posOffset>
          </wp:positionH>
          <wp:positionV relativeFrom="page">
            <wp:posOffset>279400</wp:posOffset>
          </wp:positionV>
          <wp:extent cx="1148080" cy="654685"/>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249C"/>
    <w:multiLevelType w:val="multilevel"/>
    <w:tmpl w:val="0818EE0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0B1A25F1"/>
    <w:multiLevelType w:val="multilevel"/>
    <w:tmpl w:val="37D6888A"/>
    <w:lvl w:ilvl="0">
      <w:start w:val="4"/>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6" w15:restartNumberingAfterBreak="0">
    <w:nsid w:val="44D447F4"/>
    <w:multiLevelType w:val="multilevel"/>
    <w:tmpl w:val="0818EE0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8" w15:restartNumberingAfterBreak="0">
    <w:nsid w:val="5B0F2B16"/>
    <w:multiLevelType w:val="multilevel"/>
    <w:tmpl w:val="0818EE0C"/>
    <w:lvl w:ilvl="0">
      <w:start w:val="1"/>
      <w:numFmt w:val="decimal"/>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9"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137169"/>
    <w:multiLevelType w:val="multilevel"/>
    <w:tmpl w:val="0818EE0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8550A0"/>
    <w:multiLevelType w:val="multilevel"/>
    <w:tmpl w:val="0818EE0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AB0035C"/>
    <w:multiLevelType w:val="multilevel"/>
    <w:tmpl w:val="0818EE0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D963014"/>
    <w:multiLevelType w:val="hybridMultilevel"/>
    <w:tmpl w:val="A426E368"/>
    <w:lvl w:ilvl="0" w:tplc="779C32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8567173">
    <w:abstractNumId w:val="1"/>
  </w:num>
  <w:num w:numId="2" w16cid:durableId="192348174">
    <w:abstractNumId w:val="4"/>
  </w:num>
  <w:num w:numId="3" w16cid:durableId="1395155941">
    <w:abstractNumId w:val="7"/>
  </w:num>
  <w:num w:numId="4" w16cid:durableId="1372337506">
    <w:abstractNumId w:val="11"/>
  </w:num>
  <w:num w:numId="5" w16cid:durableId="1007634965">
    <w:abstractNumId w:val="9"/>
  </w:num>
  <w:num w:numId="6" w16cid:durableId="1034618540">
    <w:abstractNumId w:val="4"/>
  </w:num>
  <w:num w:numId="7" w16cid:durableId="1218854092">
    <w:abstractNumId w:val="5"/>
  </w:num>
  <w:num w:numId="8" w16cid:durableId="891382272">
    <w:abstractNumId w:val="2"/>
  </w:num>
  <w:num w:numId="9" w16cid:durableId="691297430">
    <w:abstractNumId w:val="4"/>
  </w:num>
  <w:num w:numId="10" w16cid:durableId="2141410499">
    <w:abstractNumId w:val="1"/>
  </w:num>
  <w:num w:numId="11" w16cid:durableId="1529945546">
    <w:abstractNumId w:val="2"/>
  </w:num>
  <w:num w:numId="12" w16cid:durableId="351885383">
    <w:abstractNumId w:val="7"/>
  </w:num>
  <w:num w:numId="13" w16cid:durableId="1173227411">
    <w:abstractNumId w:val="9"/>
  </w:num>
  <w:num w:numId="14" w16cid:durableId="362872836">
    <w:abstractNumId w:val="9"/>
  </w:num>
  <w:num w:numId="15" w16cid:durableId="487791454">
    <w:abstractNumId w:val="5"/>
  </w:num>
  <w:num w:numId="16" w16cid:durableId="264965211">
    <w:abstractNumId w:val="5"/>
  </w:num>
  <w:num w:numId="17" w16cid:durableId="894774368">
    <w:abstractNumId w:val="11"/>
  </w:num>
  <w:num w:numId="18" w16cid:durableId="1026246842">
    <w:abstractNumId w:val="0"/>
  </w:num>
  <w:num w:numId="19" w16cid:durableId="295380450">
    <w:abstractNumId w:val="13"/>
  </w:num>
  <w:num w:numId="20" w16cid:durableId="1923100983">
    <w:abstractNumId w:val="6"/>
  </w:num>
  <w:num w:numId="21" w16cid:durableId="961307830">
    <w:abstractNumId w:val="8"/>
  </w:num>
  <w:num w:numId="22" w16cid:durableId="930551184">
    <w:abstractNumId w:val="10"/>
  </w:num>
  <w:num w:numId="23" w16cid:durableId="504831769">
    <w:abstractNumId w:val="14"/>
  </w:num>
  <w:num w:numId="24" w16cid:durableId="1675917996">
    <w:abstractNumId w:val="12"/>
  </w:num>
  <w:num w:numId="25" w16cid:durableId="160113808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24D99"/>
    <w:rsid w:val="0000431C"/>
    <w:rsid w:val="00004764"/>
    <w:rsid w:val="00013511"/>
    <w:rsid w:val="000249E9"/>
    <w:rsid w:val="00025595"/>
    <w:rsid w:val="00031839"/>
    <w:rsid w:val="000378F8"/>
    <w:rsid w:val="000411B5"/>
    <w:rsid w:val="00041862"/>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85147"/>
    <w:rsid w:val="00087ADB"/>
    <w:rsid w:val="000912AA"/>
    <w:rsid w:val="00093A70"/>
    <w:rsid w:val="000956C1"/>
    <w:rsid w:val="000A10A3"/>
    <w:rsid w:val="000A6E28"/>
    <w:rsid w:val="000A6F36"/>
    <w:rsid w:val="000B1493"/>
    <w:rsid w:val="000B21C6"/>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26B5D"/>
    <w:rsid w:val="00130FCF"/>
    <w:rsid w:val="00136951"/>
    <w:rsid w:val="0014020C"/>
    <w:rsid w:val="001428DB"/>
    <w:rsid w:val="001456A9"/>
    <w:rsid w:val="00145DEA"/>
    <w:rsid w:val="001467EE"/>
    <w:rsid w:val="00147E2C"/>
    <w:rsid w:val="001525AC"/>
    <w:rsid w:val="00160850"/>
    <w:rsid w:val="001636CC"/>
    <w:rsid w:val="0016649B"/>
    <w:rsid w:val="00166D3D"/>
    <w:rsid w:val="001703C0"/>
    <w:rsid w:val="001708BB"/>
    <w:rsid w:val="00173DB3"/>
    <w:rsid w:val="00173E5A"/>
    <w:rsid w:val="00185343"/>
    <w:rsid w:val="0018626C"/>
    <w:rsid w:val="00190D8B"/>
    <w:rsid w:val="001967E1"/>
    <w:rsid w:val="001A456B"/>
    <w:rsid w:val="001B051A"/>
    <w:rsid w:val="001B2A4B"/>
    <w:rsid w:val="001B3C05"/>
    <w:rsid w:val="001B5E66"/>
    <w:rsid w:val="001B6789"/>
    <w:rsid w:val="001C35D6"/>
    <w:rsid w:val="001C42E5"/>
    <w:rsid w:val="001C54F3"/>
    <w:rsid w:val="001D4D0A"/>
    <w:rsid w:val="001E0057"/>
    <w:rsid w:val="001E2795"/>
    <w:rsid w:val="001E2B27"/>
    <w:rsid w:val="001E4759"/>
    <w:rsid w:val="001E52A6"/>
    <w:rsid w:val="001E5F05"/>
    <w:rsid w:val="001E7E0C"/>
    <w:rsid w:val="001F14B4"/>
    <w:rsid w:val="001F1BAE"/>
    <w:rsid w:val="001F3A1B"/>
    <w:rsid w:val="001F7CF5"/>
    <w:rsid w:val="00200DE9"/>
    <w:rsid w:val="00203951"/>
    <w:rsid w:val="00210035"/>
    <w:rsid w:val="002131B5"/>
    <w:rsid w:val="00214254"/>
    <w:rsid w:val="0021681B"/>
    <w:rsid w:val="00216BAC"/>
    <w:rsid w:val="0022442C"/>
    <w:rsid w:val="0022575B"/>
    <w:rsid w:val="0022618A"/>
    <w:rsid w:val="00234A85"/>
    <w:rsid w:val="00236922"/>
    <w:rsid w:val="0024532D"/>
    <w:rsid w:val="00246429"/>
    <w:rsid w:val="00250614"/>
    <w:rsid w:val="0025176D"/>
    <w:rsid w:val="0025522A"/>
    <w:rsid w:val="002628BB"/>
    <w:rsid w:val="00263BD8"/>
    <w:rsid w:val="002651C1"/>
    <w:rsid w:val="00266A09"/>
    <w:rsid w:val="00270D0B"/>
    <w:rsid w:val="00271C49"/>
    <w:rsid w:val="002744EF"/>
    <w:rsid w:val="00274F69"/>
    <w:rsid w:val="00280ADC"/>
    <w:rsid w:val="00283001"/>
    <w:rsid w:val="00292F34"/>
    <w:rsid w:val="00294235"/>
    <w:rsid w:val="00294475"/>
    <w:rsid w:val="0029795C"/>
    <w:rsid w:val="002A0EE2"/>
    <w:rsid w:val="002A4F4C"/>
    <w:rsid w:val="002A5F2C"/>
    <w:rsid w:val="002B067B"/>
    <w:rsid w:val="002B1D1F"/>
    <w:rsid w:val="002B2820"/>
    <w:rsid w:val="002B3778"/>
    <w:rsid w:val="002B48E2"/>
    <w:rsid w:val="002C4A78"/>
    <w:rsid w:val="002C6434"/>
    <w:rsid w:val="002D5CB6"/>
    <w:rsid w:val="002E529B"/>
    <w:rsid w:val="002E731F"/>
    <w:rsid w:val="002F22F0"/>
    <w:rsid w:val="002F31F6"/>
    <w:rsid w:val="00303875"/>
    <w:rsid w:val="0030446E"/>
    <w:rsid w:val="0030653A"/>
    <w:rsid w:val="00307218"/>
    <w:rsid w:val="003224AB"/>
    <w:rsid w:val="00325EB5"/>
    <w:rsid w:val="003261CB"/>
    <w:rsid w:val="003272F1"/>
    <w:rsid w:val="00327BAE"/>
    <w:rsid w:val="00331707"/>
    <w:rsid w:val="00333DB9"/>
    <w:rsid w:val="003370BD"/>
    <w:rsid w:val="00337F41"/>
    <w:rsid w:val="00340820"/>
    <w:rsid w:val="00340BD9"/>
    <w:rsid w:val="00343B51"/>
    <w:rsid w:val="00343C93"/>
    <w:rsid w:val="00350865"/>
    <w:rsid w:val="00351312"/>
    <w:rsid w:val="003515B4"/>
    <w:rsid w:val="003522E2"/>
    <w:rsid w:val="00353B01"/>
    <w:rsid w:val="003560F5"/>
    <w:rsid w:val="00356113"/>
    <w:rsid w:val="00361C4D"/>
    <w:rsid w:val="00364C19"/>
    <w:rsid w:val="00364EA5"/>
    <w:rsid w:val="00365495"/>
    <w:rsid w:val="003656F9"/>
    <w:rsid w:val="0036789B"/>
    <w:rsid w:val="003714A8"/>
    <w:rsid w:val="003748D0"/>
    <w:rsid w:val="00376446"/>
    <w:rsid w:val="003921EB"/>
    <w:rsid w:val="0039387B"/>
    <w:rsid w:val="003A4990"/>
    <w:rsid w:val="003A5D0A"/>
    <w:rsid w:val="003A5FCD"/>
    <w:rsid w:val="003A62C9"/>
    <w:rsid w:val="003A7498"/>
    <w:rsid w:val="003B2162"/>
    <w:rsid w:val="003B4FB5"/>
    <w:rsid w:val="003C0CDA"/>
    <w:rsid w:val="003D1707"/>
    <w:rsid w:val="003D5EA0"/>
    <w:rsid w:val="003E1E02"/>
    <w:rsid w:val="003E25CA"/>
    <w:rsid w:val="003E2F1E"/>
    <w:rsid w:val="003E4214"/>
    <w:rsid w:val="003E7515"/>
    <w:rsid w:val="003F140E"/>
    <w:rsid w:val="003F4649"/>
    <w:rsid w:val="003F5D12"/>
    <w:rsid w:val="003F7250"/>
    <w:rsid w:val="003F7B56"/>
    <w:rsid w:val="00401E62"/>
    <w:rsid w:val="0041067F"/>
    <w:rsid w:val="004109FF"/>
    <w:rsid w:val="004113DD"/>
    <w:rsid w:val="004116CA"/>
    <w:rsid w:val="00414622"/>
    <w:rsid w:val="004206F5"/>
    <w:rsid w:val="00422A9B"/>
    <w:rsid w:val="0042334A"/>
    <w:rsid w:val="00426C3C"/>
    <w:rsid w:val="00434B14"/>
    <w:rsid w:val="004376D8"/>
    <w:rsid w:val="0044098C"/>
    <w:rsid w:val="00440FC2"/>
    <w:rsid w:val="0044458B"/>
    <w:rsid w:val="00445C89"/>
    <w:rsid w:val="0045006C"/>
    <w:rsid w:val="0045588C"/>
    <w:rsid w:val="00455F70"/>
    <w:rsid w:val="0046108D"/>
    <w:rsid w:val="00471303"/>
    <w:rsid w:val="00485057"/>
    <w:rsid w:val="00486957"/>
    <w:rsid w:val="0049099D"/>
    <w:rsid w:val="0049123D"/>
    <w:rsid w:val="004917AD"/>
    <w:rsid w:val="0049388D"/>
    <w:rsid w:val="00495184"/>
    <w:rsid w:val="00497A68"/>
    <w:rsid w:val="00497B61"/>
    <w:rsid w:val="004A3A1B"/>
    <w:rsid w:val="004A63AB"/>
    <w:rsid w:val="004A786A"/>
    <w:rsid w:val="004B5BFD"/>
    <w:rsid w:val="004B62CC"/>
    <w:rsid w:val="004C187E"/>
    <w:rsid w:val="004C6A99"/>
    <w:rsid w:val="004D03B4"/>
    <w:rsid w:val="004D3954"/>
    <w:rsid w:val="004D41CD"/>
    <w:rsid w:val="004D625B"/>
    <w:rsid w:val="004E0043"/>
    <w:rsid w:val="004E0C66"/>
    <w:rsid w:val="004E3043"/>
    <w:rsid w:val="004E36D7"/>
    <w:rsid w:val="004E43E7"/>
    <w:rsid w:val="004E4CF8"/>
    <w:rsid w:val="004F654E"/>
    <w:rsid w:val="00500200"/>
    <w:rsid w:val="00510D9D"/>
    <w:rsid w:val="00512E7F"/>
    <w:rsid w:val="00520101"/>
    <w:rsid w:val="00521713"/>
    <w:rsid w:val="00524276"/>
    <w:rsid w:val="00524DF5"/>
    <w:rsid w:val="00531F1E"/>
    <w:rsid w:val="00533280"/>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5B4A"/>
    <w:rsid w:val="005969D1"/>
    <w:rsid w:val="00596F86"/>
    <w:rsid w:val="005A008A"/>
    <w:rsid w:val="005A0F9C"/>
    <w:rsid w:val="005A2927"/>
    <w:rsid w:val="005A3431"/>
    <w:rsid w:val="005A4092"/>
    <w:rsid w:val="005A4625"/>
    <w:rsid w:val="005B30D1"/>
    <w:rsid w:val="005B6462"/>
    <w:rsid w:val="005C095B"/>
    <w:rsid w:val="005C0B91"/>
    <w:rsid w:val="005C1972"/>
    <w:rsid w:val="005C6D7E"/>
    <w:rsid w:val="005C7657"/>
    <w:rsid w:val="005C7F82"/>
    <w:rsid w:val="005D1EBA"/>
    <w:rsid w:val="005D2579"/>
    <w:rsid w:val="005D5C66"/>
    <w:rsid w:val="005E2A73"/>
    <w:rsid w:val="005E4FDA"/>
    <w:rsid w:val="005E60F9"/>
    <w:rsid w:val="005F3FC6"/>
    <w:rsid w:val="005F4DED"/>
    <w:rsid w:val="005F5578"/>
    <w:rsid w:val="0061022F"/>
    <w:rsid w:val="00613A0F"/>
    <w:rsid w:val="0061409A"/>
    <w:rsid w:val="0061444D"/>
    <w:rsid w:val="0061488A"/>
    <w:rsid w:val="006149EE"/>
    <w:rsid w:val="00614CD2"/>
    <w:rsid w:val="006152F5"/>
    <w:rsid w:val="00617B63"/>
    <w:rsid w:val="00623F80"/>
    <w:rsid w:val="006246B8"/>
    <w:rsid w:val="00624F6E"/>
    <w:rsid w:val="0062546A"/>
    <w:rsid w:val="00626AA7"/>
    <w:rsid w:val="00627EE4"/>
    <w:rsid w:val="0063111D"/>
    <w:rsid w:val="006346C7"/>
    <w:rsid w:val="00634EBE"/>
    <w:rsid w:val="00636558"/>
    <w:rsid w:val="006403FC"/>
    <w:rsid w:val="00641118"/>
    <w:rsid w:val="00646BAF"/>
    <w:rsid w:val="0065199B"/>
    <w:rsid w:val="00654A62"/>
    <w:rsid w:val="00655453"/>
    <w:rsid w:val="00662099"/>
    <w:rsid w:val="006632E3"/>
    <w:rsid w:val="00667FED"/>
    <w:rsid w:val="00670A5A"/>
    <w:rsid w:val="00675C0B"/>
    <w:rsid w:val="0068211E"/>
    <w:rsid w:val="00690128"/>
    <w:rsid w:val="0069056D"/>
    <w:rsid w:val="006A2F16"/>
    <w:rsid w:val="006A54C2"/>
    <w:rsid w:val="006A644C"/>
    <w:rsid w:val="006B0812"/>
    <w:rsid w:val="006B2AAF"/>
    <w:rsid w:val="006B2DF3"/>
    <w:rsid w:val="006B7F16"/>
    <w:rsid w:val="006C3553"/>
    <w:rsid w:val="006D1C7E"/>
    <w:rsid w:val="006D3F65"/>
    <w:rsid w:val="006D4BF5"/>
    <w:rsid w:val="006D5322"/>
    <w:rsid w:val="006D795A"/>
    <w:rsid w:val="006E0991"/>
    <w:rsid w:val="006E3C79"/>
    <w:rsid w:val="006E4C0A"/>
    <w:rsid w:val="006E530A"/>
    <w:rsid w:val="006F3CB5"/>
    <w:rsid w:val="006F3CBB"/>
    <w:rsid w:val="006F5FCD"/>
    <w:rsid w:val="006F7709"/>
    <w:rsid w:val="0070306D"/>
    <w:rsid w:val="007109A5"/>
    <w:rsid w:val="0071579F"/>
    <w:rsid w:val="00715D54"/>
    <w:rsid w:val="00717667"/>
    <w:rsid w:val="00720B61"/>
    <w:rsid w:val="00725C15"/>
    <w:rsid w:val="0073189D"/>
    <w:rsid w:val="007355AB"/>
    <w:rsid w:val="00737D4D"/>
    <w:rsid w:val="00745D42"/>
    <w:rsid w:val="00752FFA"/>
    <w:rsid w:val="0076128D"/>
    <w:rsid w:val="00762DF2"/>
    <w:rsid w:val="007652A7"/>
    <w:rsid w:val="00765B19"/>
    <w:rsid w:val="00766D8B"/>
    <w:rsid w:val="00770CA8"/>
    <w:rsid w:val="00776E7E"/>
    <w:rsid w:val="007875A8"/>
    <w:rsid w:val="00787A3D"/>
    <w:rsid w:val="00790737"/>
    <w:rsid w:val="00796911"/>
    <w:rsid w:val="007A1370"/>
    <w:rsid w:val="007A154F"/>
    <w:rsid w:val="007A3090"/>
    <w:rsid w:val="007A4A53"/>
    <w:rsid w:val="007A6C74"/>
    <w:rsid w:val="007B0430"/>
    <w:rsid w:val="007B043B"/>
    <w:rsid w:val="007B32D0"/>
    <w:rsid w:val="007B3ED7"/>
    <w:rsid w:val="007B493B"/>
    <w:rsid w:val="007B6EE2"/>
    <w:rsid w:val="007B7876"/>
    <w:rsid w:val="007C1C4E"/>
    <w:rsid w:val="007C4121"/>
    <w:rsid w:val="007C77B6"/>
    <w:rsid w:val="007D09D1"/>
    <w:rsid w:val="007D0A5E"/>
    <w:rsid w:val="007D217F"/>
    <w:rsid w:val="007D2CA7"/>
    <w:rsid w:val="007D494B"/>
    <w:rsid w:val="007D7BDB"/>
    <w:rsid w:val="007E4B05"/>
    <w:rsid w:val="007E5BC4"/>
    <w:rsid w:val="007F0715"/>
    <w:rsid w:val="007F11DC"/>
    <w:rsid w:val="007F1B1F"/>
    <w:rsid w:val="00801ED4"/>
    <w:rsid w:val="008101BF"/>
    <w:rsid w:val="00820688"/>
    <w:rsid w:val="00822FC9"/>
    <w:rsid w:val="008275D5"/>
    <w:rsid w:val="00832455"/>
    <w:rsid w:val="008353B6"/>
    <w:rsid w:val="00840F5E"/>
    <w:rsid w:val="00851E3C"/>
    <w:rsid w:val="008579E7"/>
    <w:rsid w:val="00860038"/>
    <w:rsid w:val="00872BD0"/>
    <w:rsid w:val="00874BA3"/>
    <w:rsid w:val="008754AF"/>
    <w:rsid w:val="008774D7"/>
    <w:rsid w:val="00877908"/>
    <w:rsid w:val="00877D9E"/>
    <w:rsid w:val="00886489"/>
    <w:rsid w:val="008908FC"/>
    <w:rsid w:val="008909DF"/>
    <w:rsid w:val="00896BC6"/>
    <w:rsid w:val="00897B51"/>
    <w:rsid w:val="008A0A15"/>
    <w:rsid w:val="008A1D6B"/>
    <w:rsid w:val="008A5C60"/>
    <w:rsid w:val="008B31A4"/>
    <w:rsid w:val="008B6803"/>
    <w:rsid w:val="008C0047"/>
    <w:rsid w:val="008C41A6"/>
    <w:rsid w:val="008C4355"/>
    <w:rsid w:val="008C59B3"/>
    <w:rsid w:val="008C6003"/>
    <w:rsid w:val="008D175A"/>
    <w:rsid w:val="008D2A6E"/>
    <w:rsid w:val="008D42DE"/>
    <w:rsid w:val="008D4ECA"/>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876"/>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0E0"/>
    <w:rsid w:val="009B31B8"/>
    <w:rsid w:val="009B4691"/>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3FED"/>
    <w:rsid w:val="00A07680"/>
    <w:rsid w:val="00A10E6E"/>
    <w:rsid w:val="00A1554B"/>
    <w:rsid w:val="00A20CB9"/>
    <w:rsid w:val="00A23181"/>
    <w:rsid w:val="00A248DE"/>
    <w:rsid w:val="00A257C0"/>
    <w:rsid w:val="00A27575"/>
    <w:rsid w:val="00A27CAB"/>
    <w:rsid w:val="00A43B86"/>
    <w:rsid w:val="00A46756"/>
    <w:rsid w:val="00A47CAE"/>
    <w:rsid w:val="00A52218"/>
    <w:rsid w:val="00A52618"/>
    <w:rsid w:val="00A54180"/>
    <w:rsid w:val="00A561D5"/>
    <w:rsid w:val="00A6152A"/>
    <w:rsid w:val="00A618EC"/>
    <w:rsid w:val="00A62820"/>
    <w:rsid w:val="00A652F6"/>
    <w:rsid w:val="00A72B44"/>
    <w:rsid w:val="00A75FA4"/>
    <w:rsid w:val="00A778A8"/>
    <w:rsid w:val="00A8244B"/>
    <w:rsid w:val="00A84ED5"/>
    <w:rsid w:val="00A854D8"/>
    <w:rsid w:val="00A91E3B"/>
    <w:rsid w:val="00A926BB"/>
    <w:rsid w:val="00A92A0E"/>
    <w:rsid w:val="00A94398"/>
    <w:rsid w:val="00A94925"/>
    <w:rsid w:val="00A97F7E"/>
    <w:rsid w:val="00AA31FD"/>
    <w:rsid w:val="00AA3EF2"/>
    <w:rsid w:val="00AA46E3"/>
    <w:rsid w:val="00AA48B1"/>
    <w:rsid w:val="00AA6416"/>
    <w:rsid w:val="00AA6531"/>
    <w:rsid w:val="00AB2E2E"/>
    <w:rsid w:val="00AB72D4"/>
    <w:rsid w:val="00AB764F"/>
    <w:rsid w:val="00AC2543"/>
    <w:rsid w:val="00AC281B"/>
    <w:rsid w:val="00AD2B4B"/>
    <w:rsid w:val="00AE34D3"/>
    <w:rsid w:val="00AE565A"/>
    <w:rsid w:val="00AE5F3E"/>
    <w:rsid w:val="00AE7AB5"/>
    <w:rsid w:val="00AF2F85"/>
    <w:rsid w:val="00AF3296"/>
    <w:rsid w:val="00AF4080"/>
    <w:rsid w:val="00AF6726"/>
    <w:rsid w:val="00AF7568"/>
    <w:rsid w:val="00B00949"/>
    <w:rsid w:val="00B03901"/>
    <w:rsid w:val="00B162B0"/>
    <w:rsid w:val="00B166FF"/>
    <w:rsid w:val="00B25072"/>
    <w:rsid w:val="00B328D5"/>
    <w:rsid w:val="00B34481"/>
    <w:rsid w:val="00B373CD"/>
    <w:rsid w:val="00B41869"/>
    <w:rsid w:val="00B41A1C"/>
    <w:rsid w:val="00B52188"/>
    <w:rsid w:val="00B526A9"/>
    <w:rsid w:val="00B573BA"/>
    <w:rsid w:val="00B61A71"/>
    <w:rsid w:val="00B65243"/>
    <w:rsid w:val="00B71D27"/>
    <w:rsid w:val="00B80AD3"/>
    <w:rsid w:val="00B87A93"/>
    <w:rsid w:val="00B921E5"/>
    <w:rsid w:val="00B935CB"/>
    <w:rsid w:val="00B95DA6"/>
    <w:rsid w:val="00B9676E"/>
    <w:rsid w:val="00BA2683"/>
    <w:rsid w:val="00BA4E69"/>
    <w:rsid w:val="00BA52D0"/>
    <w:rsid w:val="00BB3C20"/>
    <w:rsid w:val="00BB3E4B"/>
    <w:rsid w:val="00BB6EAD"/>
    <w:rsid w:val="00BC1A06"/>
    <w:rsid w:val="00BD2211"/>
    <w:rsid w:val="00BD240C"/>
    <w:rsid w:val="00BD335A"/>
    <w:rsid w:val="00BD47DE"/>
    <w:rsid w:val="00BD6475"/>
    <w:rsid w:val="00BE2C4A"/>
    <w:rsid w:val="00BE440A"/>
    <w:rsid w:val="00BE6561"/>
    <w:rsid w:val="00BE6DC5"/>
    <w:rsid w:val="00BF53B7"/>
    <w:rsid w:val="00BF5CB0"/>
    <w:rsid w:val="00C074D3"/>
    <w:rsid w:val="00C11E5D"/>
    <w:rsid w:val="00C14216"/>
    <w:rsid w:val="00C166E7"/>
    <w:rsid w:val="00C22082"/>
    <w:rsid w:val="00C26BDB"/>
    <w:rsid w:val="00C27B18"/>
    <w:rsid w:val="00C3380F"/>
    <w:rsid w:val="00C33DE1"/>
    <w:rsid w:val="00C44DE4"/>
    <w:rsid w:val="00C456F9"/>
    <w:rsid w:val="00C46A28"/>
    <w:rsid w:val="00C528BE"/>
    <w:rsid w:val="00C53220"/>
    <w:rsid w:val="00C566F3"/>
    <w:rsid w:val="00C57EE5"/>
    <w:rsid w:val="00C63604"/>
    <w:rsid w:val="00C7383C"/>
    <w:rsid w:val="00C7733B"/>
    <w:rsid w:val="00C77F6F"/>
    <w:rsid w:val="00C82F20"/>
    <w:rsid w:val="00C91239"/>
    <w:rsid w:val="00C925D0"/>
    <w:rsid w:val="00C976E7"/>
    <w:rsid w:val="00CA1767"/>
    <w:rsid w:val="00CA207C"/>
    <w:rsid w:val="00CA556C"/>
    <w:rsid w:val="00CA62A4"/>
    <w:rsid w:val="00CA7A25"/>
    <w:rsid w:val="00CB3381"/>
    <w:rsid w:val="00CB4A5E"/>
    <w:rsid w:val="00CC5286"/>
    <w:rsid w:val="00CC644F"/>
    <w:rsid w:val="00CD3A51"/>
    <w:rsid w:val="00CD5BCF"/>
    <w:rsid w:val="00CE1623"/>
    <w:rsid w:val="00CE5302"/>
    <w:rsid w:val="00CE6F15"/>
    <w:rsid w:val="00CE7F7B"/>
    <w:rsid w:val="00D010E4"/>
    <w:rsid w:val="00D050FA"/>
    <w:rsid w:val="00D0531F"/>
    <w:rsid w:val="00D059E3"/>
    <w:rsid w:val="00D05D88"/>
    <w:rsid w:val="00D2028A"/>
    <w:rsid w:val="00D2221D"/>
    <w:rsid w:val="00D27A50"/>
    <w:rsid w:val="00D31710"/>
    <w:rsid w:val="00D35555"/>
    <w:rsid w:val="00D361DD"/>
    <w:rsid w:val="00D4246C"/>
    <w:rsid w:val="00D430DB"/>
    <w:rsid w:val="00D50E03"/>
    <w:rsid w:val="00D522E4"/>
    <w:rsid w:val="00D629F6"/>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03"/>
    <w:rsid w:val="00DD50C3"/>
    <w:rsid w:val="00DE545F"/>
    <w:rsid w:val="00DE56D5"/>
    <w:rsid w:val="00DE6141"/>
    <w:rsid w:val="00DF0D85"/>
    <w:rsid w:val="00DF5FEC"/>
    <w:rsid w:val="00DF7D69"/>
    <w:rsid w:val="00E01414"/>
    <w:rsid w:val="00E014C7"/>
    <w:rsid w:val="00E023DC"/>
    <w:rsid w:val="00E04408"/>
    <w:rsid w:val="00E055CE"/>
    <w:rsid w:val="00E110A7"/>
    <w:rsid w:val="00E1214A"/>
    <w:rsid w:val="00E16A1B"/>
    <w:rsid w:val="00E22838"/>
    <w:rsid w:val="00E232AD"/>
    <w:rsid w:val="00E2551A"/>
    <w:rsid w:val="00E269D6"/>
    <w:rsid w:val="00E27013"/>
    <w:rsid w:val="00E301F9"/>
    <w:rsid w:val="00E31135"/>
    <w:rsid w:val="00E3120A"/>
    <w:rsid w:val="00E35A26"/>
    <w:rsid w:val="00E40B54"/>
    <w:rsid w:val="00E566D5"/>
    <w:rsid w:val="00E56BD4"/>
    <w:rsid w:val="00E56FC2"/>
    <w:rsid w:val="00E575D5"/>
    <w:rsid w:val="00E62A9D"/>
    <w:rsid w:val="00E65337"/>
    <w:rsid w:val="00E73E62"/>
    <w:rsid w:val="00E74441"/>
    <w:rsid w:val="00E75876"/>
    <w:rsid w:val="00E7748F"/>
    <w:rsid w:val="00E7767C"/>
    <w:rsid w:val="00E81093"/>
    <w:rsid w:val="00E81E82"/>
    <w:rsid w:val="00E840CA"/>
    <w:rsid w:val="00E843BA"/>
    <w:rsid w:val="00E9015C"/>
    <w:rsid w:val="00E91878"/>
    <w:rsid w:val="00E919F2"/>
    <w:rsid w:val="00E93269"/>
    <w:rsid w:val="00EA0EB0"/>
    <w:rsid w:val="00EA3AA8"/>
    <w:rsid w:val="00EB41B9"/>
    <w:rsid w:val="00EB5655"/>
    <w:rsid w:val="00EB75B9"/>
    <w:rsid w:val="00EC08A7"/>
    <w:rsid w:val="00EC0F9E"/>
    <w:rsid w:val="00EC2173"/>
    <w:rsid w:val="00ED2983"/>
    <w:rsid w:val="00ED518E"/>
    <w:rsid w:val="00ED6300"/>
    <w:rsid w:val="00EE046D"/>
    <w:rsid w:val="00EE192C"/>
    <w:rsid w:val="00EF2737"/>
    <w:rsid w:val="00EF4882"/>
    <w:rsid w:val="00F03636"/>
    <w:rsid w:val="00F070C2"/>
    <w:rsid w:val="00F075D3"/>
    <w:rsid w:val="00F13B22"/>
    <w:rsid w:val="00F1473F"/>
    <w:rsid w:val="00F16F10"/>
    <w:rsid w:val="00F20DD9"/>
    <w:rsid w:val="00F21762"/>
    <w:rsid w:val="00F23EFB"/>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A1AF4"/>
    <w:rsid w:val="00FB0ACE"/>
    <w:rsid w:val="00FB46BF"/>
    <w:rsid w:val="00FB704D"/>
    <w:rsid w:val="00FC2372"/>
    <w:rsid w:val="00FC2B78"/>
    <w:rsid w:val="00FC2B9C"/>
    <w:rsid w:val="00FC2EF9"/>
    <w:rsid w:val="00FC3B72"/>
    <w:rsid w:val="00FC61A2"/>
    <w:rsid w:val="00FD7341"/>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E13F"/>
  <w15:docId w15:val="{CEF2BF8A-2A6D-4452-9244-FE7B73AD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character" w:styleId="Hyperlink">
    <w:name w:val="Hyperlink"/>
    <w:basedOn w:val="DefaultParagraphFont"/>
    <w:uiPriority w:val="99"/>
    <w:unhideWhenUsed/>
    <w:rsid w:val="00CA62A4"/>
    <w:rPr>
      <w:color w:val="0563C1" w:themeColor="hyperlink"/>
      <w:u w:val="single"/>
    </w:rPr>
  </w:style>
  <w:style w:type="paragraph" w:styleId="ListParagraph">
    <w:name w:val="List Paragraph"/>
    <w:basedOn w:val="Normal"/>
    <w:uiPriority w:val="34"/>
    <w:qFormat/>
    <w:rsid w:val="00E74441"/>
    <w:pPr>
      <w:ind w:left="720"/>
      <w:contextualSpacing/>
    </w:pPr>
  </w:style>
  <w:style w:type="paragraph" w:customStyle="1" w:styleId="VRQAsubhead1">
    <w:name w:val="VRQA subhead 1"/>
    <w:basedOn w:val="Normal"/>
    <w:qFormat/>
    <w:rsid w:val="00337F41"/>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character" w:styleId="UnresolvedMention">
    <w:name w:val="Unresolved Mention"/>
    <w:basedOn w:val="DefaultParagraphFont"/>
    <w:uiPriority w:val="99"/>
    <w:semiHidden/>
    <w:unhideWhenUsed/>
    <w:rsid w:val="00776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vrqa.vic.gov.au/home-schooling-policies-and-framework"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legislation.vic.gov.au/in-force/statutory-rules/education-and-training-reform-regulations-2017/0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IconOverlay xmlns="http://schemas.microsoft.com/sharepoint/v4" xsi:nil="true"/>
    <PublishingContactName xmlns="http://schemas.microsoft.com/sharepoint/v3" xsi:nil="true"/>
    <TaxCatchAll xmlns="803d2ee2-09a5-4492-91b9-33e5cbd8b062">
      <Value>19</Value>
      <Value>15</Value>
    </TaxCatchAll>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C18E326C1DD9C04DA51E0DBC72F142930037A6267BC0FA894EA755BFCB725C3174" ma:contentTypeVersion="9" ma:contentTypeDescription="DET Document" ma:contentTypeScope="" ma:versionID="525a56f0e19246b1836f0848ea8027fc">
  <xsd:schema xmlns:xsd="http://www.w3.org/2001/XMLSchema" xmlns:xs="http://www.w3.org/2001/XMLSchema" xmlns:p="http://schemas.microsoft.com/office/2006/metadata/properties" xmlns:ns1="http://schemas.microsoft.com/sharepoint/v3" xmlns:ns2="http://schemas.microsoft.com/Sharepoint/v3" xmlns:ns3="803d2ee2-09a5-4492-91b9-33e5cbd8b062" xmlns:ns5="http://schemas.microsoft.com/sharepoint/v4" targetNamespace="http://schemas.microsoft.com/office/2006/metadata/properties" ma:root="true" ma:fieldsID="f58acc496e9e244313276ddb8a58c881" ns1:_="" ns2:_="" ns3:_="" ns5:_="">
    <xsd:import namespace="http://schemas.microsoft.com/sharepoint/v3"/>
    <xsd:import namespace="http://schemas.microsoft.com/Sharepoint/v3"/>
    <xsd:import namespace="803d2ee2-09a5-4492-91b9-33e5cbd8b06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F60A0-6020-480E-9C65-BAC33DB78A16}">
  <ds:schemaRefs>
    <ds:schemaRef ds:uri="http://schemas.microsoft.com/sharepoint/events"/>
  </ds:schemaRefs>
</ds:datastoreItem>
</file>

<file path=customXml/itemProps2.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s>
</ds:datastoreItem>
</file>

<file path=customXml/itemProps3.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4.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5.xml><?xml version="1.0" encoding="utf-8"?>
<ds:datastoreItem xmlns:ds="http://schemas.openxmlformats.org/officeDocument/2006/customXml" ds:itemID="{FB7545BA-BDAA-4C19-9259-58ABA2BA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3371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Requirements of home schooling registration</vt:lpstr>
    </vt:vector>
  </TitlesOfParts>
  <Manager>Victorian Registration and Qualifications Authority (VRQA)</Manager>
  <Company>Department of Education and Training</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of home schooling registration</dc:title>
  <dc:subject>Application for Registration for Home Schooling</dc:subject>
  <dc:creator>vrqa@education.vic.gov.au</dc:creator>
  <cp:keywords>VRQA home education</cp:keywords>
  <dc:description/>
  <cp:lastModifiedBy>Ashling Cardwell</cp:lastModifiedBy>
  <cp:revision>2</cp:revision>
  <cp:lastPrinted>2020-03-19T22:06:00Z</cp:lastPrinted>
  <dcterms:created xsi:type="dcterms:W3CDTF">2025-09-19T02:26:00Z</dcterms:created>
  <dcterms:modified xsi:type="dcterms:W3CDTF">2025-09-19T02:26:00Z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0x010100C18E326C1DD9C04DA51E0DBC72F142930037A6267BC0FA894EA755BFCB725C3174</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2021-09-10T19:14:20.9105766+10:00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y fmtid="{D5CDD505-2E9C-101B-9397-08002B2CF9AE}" pid="21" name="GrammarlyDocumentId">
    <vt:lpwstr>80104f0b79318a062282288590a694e9f7bdfaca2ccb0351ee40e43378222000</vt:lpwstr>
  </property>
</Properties>
</file>