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27E5" w14:textId="7D13752F" w:rsidR="00321F5F" w:rsidRPr="00321F5F" w:rsidRDefault="00CC3F14" w:rsidP="00321F5F">
      <w:pPr>
        <w:spacing w:before="1560" w:after="0" w:line="240" w:lineRule="auto"/>
        <w:rPr>
          <w:rFonts w:ascii="Arial" w:hAnsi="Arial" w:cs="Arial"/>
          <w:b/>
          <w:color w:val="103D64" w:themeColor="text2"/>
          <w:sz w:val="80"/>
          <w:szCs w:val="80"/>
        </w:rPr>
      </w:pPr>
      <w:r>
        <w:rPr>
          <w:rFonts w:ascii="Arial" w:hAnsi="Arial" w:cs="Arial"/>
          <w:b/>
          <w:noProof/>
          <w:color w:val="103D64" w:themeColor="text2"/>
          <w:sz w:val="80"/>
          <w:szCs w:val="80"/>
          <w:lang w:eastAsia="en-AU"/>
        </w:rPr>
        <mc:AlternateContent>
          <mc:Choice Requires="wps">
            <w:drawing>
              <wp:anchor distT="0" distB="0" distL="114300" distR="114300" simplePos="0" relativeHeight="251660288" behindDoc="0" locked="0" layoutInCell="1" allowOverlap="1" wp14:anchorId="6E838A7A" wp14:editId="0B8CB7A3">
                <wp:simplePos x="0" y="0"/>
                <wp:positionH relativeFrom="column">
                  <wp:posOffset>4298315</wp:posOffset>
                </wp:positionH>
                <wp:positionV relativeFrom="paragraph">
                  <wp:posOffset>-165100</wp:posOffset>
                </wp:positionV>
                <wp:extent cx="1609725" cy="838200"/>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1609725" cy="838200"/>
                        </a:xfrm>
                        <a:prstGeom prst="rect">
                          <a:avLst/>
                        </a:prstGeom>
                        <a:noFill/>
                        <a:ln w="6350">
                          <a:noFill/>
                        </a:ln>
                      </wps:spPr>
                      <wps:txbx>
                        <w:txbxContent>
                          <w:p w14:paraId="67C7984B" w14:textId="4FE4E2B1" w:rsidR="00CC3F14" w:rsidRDefault="004D4656">
                            <w:r>
                              <w:pict w14:anchorId="5B740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25pt;height:56.55pt">
                                  <v:imagedata r:id="rId13" o:title="Victoria_State_Gov_logo_black_rgb"/>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E838A7A" id="_x0000_t202" coordsize="21600,21600" o:spt="202" path="m,l,21600r21600,l21600,xe">
                <v:stroke joinstyle="miter"/>
                <v:path gradientshapeok="t" o:connecttype="rect"/>
              </v:shapetype>
              <v:shape id="Text Box 2" o:spid="_x0000_s1026" type="#_x0000_t202" style="position:absolute;margin-left:338.45pt;margin-top:-13pt;width:126.75pt;height:6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" filled="f" stroked="f" strokeweight=".5pt">
                <v:textbox style="mso-fit-shape-to-text:t">
                  <w:txbxContent>
                    <w:p w14:paraId="67C7984B" w14:textId="4FE4E2B1" w:rsidR="00CC3F14" w:rsidRDefault="00CC3F14">
                      <w:r>
                        <w:pict w14:anchorId="5B740255">
                          <v:shape id="_x0000_i1026" type="#_x0000_t75" style="width:98.25pt;height:56.55pt">
                            <v:imagedata r:id="rId14" o:title="Victoria_State_Gov_logo_black_rgb"/>
                          </v:shape>
                        </w:pict>
                      </w:r>
                    </w:p>
                  </w:txbxContent>
                </v:textbox>
              </v:shape>
            </w:pict>
          </mc:Fallback>
        </mc:AlternateContent>
      </w:r>
      <w:r>
        <w:rPr>
          <w:rFonts w:ascii="Arial" w:hAnsi="Arial" w:cs="Arial"/>
          <w:b/>
          <w:noProof/>
          <w:color w:val="103D64" w:themeColor="text2"/>
          <w:sz w:val="80"/>
          <w:szCs w:val="80"/>
          <w:lang w:eastAsia="en-AU"/>
        </w:rPr>
        <mc:AlternateContent>
          <mc:Choice Requires="wps">
            <w:drawing>
              <wp:anchor distT="0" distB="0" distL="114300" distR="114300" simplePos="0" relativeHeight="251659264" behindDoc="0" locked="0" layoutInCell="1" allowOverlap="1" wp14:anchorId="222955FC" wp14:editId="4BD5B1A4">
                <wp:simplePos x="0" y="0"/>
                <wp:positionH relativeFrom="margin">
                  <wp:align>left</wp:align>
                </wp:positionH>
                <wp:positionV relativeFrom="paragraph">
                  <wp:posOffset>-212725</wp:posOffset>
                </wp:positionV>
                <wp:extent cx="1685925" cy="8858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685925" cy="885825"/>
                        </a:xfrm>
                        <a:prstGeom prst="rect">
                          <a:avLst/>
                        </a:prstGeom>
                        <a:noFill/>
                        <a:ln w="6350">
                          <a:noFill/>
                        </a:ln>
                      </wps:spPr>
                      <wps:txbx>
                        <w:txbxContent>
                          <w:p w14:paraId="03C0E8B8" w14:textId="3183DEAA" w:rsidR="00CC3F14" w:rsidRPr="00CC3F14" w:rsidRDefault="004D4656">
                            <w:pPr>
                              <w:rPr>
                                <w:color w:val="FFFFFF" w:themeColor="background1"/>
                                <w14:textFill>
                                  <w14:noFill/>
                                </w14:textFill>
                              </w:rPr>
                            </w:pPr>
                            <w:r>
                              <w:rPr>
                                <w:color w:val="FFFFFF" w:themeColor="background1"/>
                                <w14:textFill>
                                  <w14:noFill/>
                                </w14:textFill>
                              </w:rPr>
                              <w:pict w14:anchorId="4F80E7C5">
                                <v:shape id="_x0000_i1028" type="#_x0000_t75" style="width:117.85pt;height:60.2pt">
                                  <v:imagedata r:id="rId15" o:title="VRQA colour noborder small"/>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2955FC" id="Text Box 1" o:spid="_x0000_s1027" type="#_x0000_t202" style="position:absolute;margin-left:0;margin-top:-16.75pt;width:132.75pt;height:69.75pt;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" filled="f" stroked="f" strokeweight=".5pt">
                <v:textbox style="mso-fit-shape-to-text:t">
                  <w:txbxContent>
                    <w:p w14:paraId="03C0E8B8" w14:textId="3183DEAA" w:rsidR="00CC3F14" w:rsidRPr="00CC3F14" w:rsidRDefault="00CC3F14">
                      <w:pPr>
                        <w:rPr>
                          <w:color w:val="FFFFFF" w:themeColor="background1"/>
                          <w14:textFill>
                            <w14:noFill/>
                          </w14:textFill>
                        </w:rPr>
                      </w:pPr>
                      <w:r w:rsidRPr="00CC3F14">
                        <w:rPr>
                          <w:color w:val="FFFFFF" w:themeColor="background1"/>
                          <w14:textFill>
                            <w14:noFill/>
                          </w14:textFill>
                        </w:rPr>
                        <w:pict w14:anchorId="4F80E7C5">
                          <v:shape id="_x0000_i1025" type="#_x0000_t75" style="width:117.85pt;height:60.2pt">
                            <v:imagedata r:id="rId16" o:title="VRQA colour noborder small"/>
                          </v:shape>
                        </w:pict>
                      </w:r>
                    </w:p>
                  </w:txbxContent>
                </v:textbox>
                <w10:wrap anchorx="margin"/>
              </v:shape>
            </w:pict>
          </mc:Fallback>
        </mc:AlternateContent>
      </w:r>
      <w:r w:rsidR="00260DAA" w:rsidRPr="00321F5F">
        <w:rPr>
          <w:rFonts w:ascii="Arial" w:hAnsi="Arial" w:cs="Arial"/>
          <w:b/>
          <w:color w:val="103D64" w:themeColor="text2"/>
          <w:sz w:val="80"/>
          <w:szCs w:val="80"/>
        </w:rPr>
        <w:t xml:space="preserve">Enforceable Undertaking </w:t>
      </w:r>
    </w:p>
    <w:p w14:paraId="41CB2EFE" w14:textId="77777777" w:rsidR="00260DAA" w:rsidRPr="00321F5F" w:rsidRDefault="00260DAA" w:rsidP="00321F5F">
      <w:pPr>
        <w:spacing w:after="960" w:line="240" w:lineRule="auto"/>
        <w:rPr>
          <w:rFonts w:ascii="Arial" w:hAnsi="Arial" w:cs="Arial"/>
          <w:b/>
          <w:color w:val="103D64" w:themeColor="text2"/>
          <w:sz w:val="60"/>
          <w:szCs w:val="60"/>
        </w:rPr>
      </w:pPr>
      <w:r w:rsidRPr="00321F5F">
        <w:rPr>
          <w:rFonts w:ascii="Arial" w:hAnsi="Arial" w:cs="Arial"/>
          <w:b/>
          <w:color w:val="103D64" w:themeColor="text2"/>
          <w:sz w:val="60"/>
          <w:szCs w:val="60"/>
        </w:rPr>
        <w:t>Policy</w:t>
      </w:r>
    </w:p>
    <w:p w14:paraId="2AD6A5F5" w14:textId="77777777" w:rsidR="002051CC" w:rsidRPr="00260DAA" w:rsidRDefault="002051CC" w:rsidP="007E5028">
      <w:pPr>
        <w:spacing w:before="120" w:after="120" w:line="240" w:lineRule="auto"/>
        <w:rPr>
          <w:rFonts w:ascii="Arial" w:hAnsi="Arial" w:cs="Arial"/>
          <w:b/>
          <w:color w:val="103D64" w:themeColor="text2"/>
          <w:sz w:val="20"/>
          <w:szCs w:val="20"/>
        </w:rPr>
      </w:pPr>
      <w:r w:rsidRPr="00260DAA">
        <w:rPr>
          <w:rFonts w:ascii="Arial" w:hAnsi="Arial" w:cs="Arial"/>
          <w:b/>
          <w:color w:val="103D64" w:themeColor="text2"/>
          <w:sz w:val="20"/>
          <w:szCs w:val="20"/>
        </w:rPr>
        <w:t>What is an enforceable undertaking?</w:t>
      </w:r>
    </w:p>
    <w:p w14:paraId="07A98020" w14:textId="77777777" w:rsidR="002051CC" w:rsidRDefault="002051CC" w:rsidP="00260DAA">
      <w:pPr>
        <w:spacing w:before="120" w:after="240" w:line="240" w:lineRule="auto"/>
        <w:rPr>
          <w:rFonts w:ascii="Arial" w:hAnsi="Arial" w:cs="Arial"/>
          <w:i/>
          <w:color w:val="53565A" w:themeColor="accent3"/>
          <w:sz w:val="20"/>
          <w:szCs w:val="20"/>
        </w:rPr>
      </w:pPr>
      <w:r w:rsidRPr="00260DAA">
        <w:rPr>
          <w:rFonts w:ascii="Arial" w:hAnsi="Arial" w:cs="Arial"/>
          <w:color w:val="53565A" w:themeColor="accent3"/>
          <w:sz w:val="20"/>
          <w:szCs w:val="20"/>
        </w:rPr>
        <w:t>An enforceable undertaking is a written agreement between</w:t>
      </w:r>
      <w:r w:rsidR="004B74AD" w:rsidRPr="00260DAA">
        <w:rPr>
          <w:rFonts w:ascii="Arial" w:hAnsi="Arial" w:cs="Arial"/>
          <w:color w:val="53565A" w:themeColor="accent3"/>
          <w:sz w:val="20"/>
          <w:szCs w:val="20"/>
        </w:rPr>
        <w:t xml:space="preserve"> the VRQA and a registered school that is the subject of a review or the VRQA and a </w:t>
      </w:r>
      <w:r w:rsidR="001C0C4E" w:rsidRPr="00260DAA">
        <w:rPr>
          <w:rFonts w:ascii="Arial" w:hAnsi="Arial" w:cs="Arial"/>
          <w:color w:val="53565A" w:themeColor="accent3"/>
          <w:sz w:val="20"/>
          <w:szCs w:val="20"/>
        </w:rPr>
        <w:t>Registered Training Organisation</w:t>
      </w:r>
      <w:r w:rsidRPr="00260DAA">
        <w:rPr>
          <w:rFonts w:ascii="Arial" w:hAnsi="Arial" w:cs="Arial"/>
          <w:color w:val="53565A" w:themeColor="accent3"/>
          <w:sz w:val="20"/>
          <w:szCs w:val="20"/>
        </w:rPr>
        <w:t xml:space="preserve"> </w:t>
      </w:r>
      <w:r w:rsidR="001C0C4E" w:rsidRPr="00260DAA">
        <w:rPr>
          <w:rFonts w:ascii="Arial" w:hAnsi="Arial" w:cs="Arial"/>
          <w:color w:val="53565A" w:themeColor="accent3"/>
          <w:sz w:val="20"/>
          <w:szCs w:val="20"/>
        </w:rPr>
        <w:t>(RTO)</w:t>
      </w:r>
      <w:r w:rsidR="00C359E1" w:rsidRPr="00260DAA">
        <w:rPr>
          <w:rFonts w:ascii="Arial" w:hAnsi="Arial" w:cs="Arial"/>
          <w:color w:val="53565A" w:themeColor="accent3"/>
          <w:sz w:val="20"/>
          <w:szCs w:val="20"/>
        </w:rPr>
        <w:t>,</w:t>
      </w:r>
      <w:r w:rsidRPr="00260DAA">
        <w:rPr>
          <w:rFonts w:ascii="Arial" w:hAnsi="Arial" w:cs="Arial"/>
          <w:color w:val="53565A" w:themeColor="accent3"/>
          <w:sz w:val="20"/>
          <w:szCs w:val="20"/>
        </w:rPr>
        <w:t xml:space="preserve"> regulated by the </w:t>
      </w:r>
      <w:r w:rsidRPr="00260DAA">
        <w:rPr>
          <w:rFonts w:ascii="Arial" w:hAnsi="Arial" w:cs="Arial"/>
          <w:i/>
          <w:color w:val="53565A" w:themeColor="accent3"/>
          <w:sz w:val="20"/>
          <w:szCs w:val="20"/>
        </w:rPr>
        <w:t>Education and Training Reform Act 2006</w:t>
      </w:r>
      <w:r w:rsidR="008E3482" w:rsidRPr="00260DAA">
        <w:rPr>
          <w:rFonts w:ascii="Arial" w:hAnsi="Arial" w:cs="Arial"/>
          <w:i/>
          <w:color w:val="53565A" w:themeColor="accent3"/>
          <w:sz w:val="20"/>
          <w:szCs w:val="20"/>
        </w:rPr>
        <w:t xml:space="preserve"> </w:t>
      </w:r>
      <w:r w:rsidR="008E3482" w:rsidRPr="00260DAA">
        <w:rPr>
          <w:rFonts w:ascii="Arial" w:hAnsi="Arial" w:cs="Arial"/>
          <w:color w:val="53565A" w:themeColor="accent3"/>
          <w:sz w:val="20"/>
          <w:szCs w:val="20"/>
        </w:rPr>
        <w:t>(the Act)</w:t>
      </w:r>
      <w:r w:rsidRPr="00260DAA">
        <w:rPr>
          <w:rFonts w:ascii="Arial" w:hAnsi="Arial" w:cs="Arial"/>
          <w:i/>
          <w:color w:val="53565A" w:themeColor="accent3"/>
          <w:sz w:val="20"/>
          <w:szCs w:val="20"/>
        </w:rPr>
        <w:t>.</w:t>
      </w:r>
    </w:p>
    <w:p w14:paraId="0CA4F01E" w14:textId="77777777" w:rsidR="00E405E8" w:rsidRPr="00260DAA" w:rsidRDefault="00E405E8" w:rsidP="00260DAA">
      <w:pPr>
        <w:spacing w:before="120" w:after="240" w:line="240" w:lineRule="auto"/>
        <w:rPr>
          <w:rFonts w:ascii="Arial" w:hAnsi="Arial" w:cs="Arial"/>
          <w:color w:val="53565A" w:themeColor="accent3"/>
          <w:sz w:val="20"/>
          <w:szCs w:val="20"/>
        </w:rPr>
      </w:pPr>
      <w:r w:rsidRPr="00E405E8">
        <w:rPr>
          <w:rFonts w:ascii="Arial" w:hAnsi="Arial" w:cs="Arial"/>
          <w:color w:val="53565A" w:themeColor="accent3"/>
          <w:sz w:val="20"/>
          <w:szCs w:val="20"/>
        </w:rPr>
        <w:t>For undertakings by schools, see sections 4.3.3A to 4.3.3D of the Act. For undertakings by RTOs, see sections 5.8.3V to 5.8.3Y of the Act.</w:t>
      </w:r>
    </w:p>
    <w:p w14:paraId="2E9C73FC" w14:textId="77777777" w:rsidR="002051CC" w:rsidRPr="00260DAA" w:rsidRDefault="002051CC" w:rsidP="009267F5">
      <w:pPr>
        <w:spacing w:before="120" w:after="120" w:line="240" w:lineRule="auto"/>
        <w:rPr>
          <w:rFonts w:ascii="Arial" w:hAnsi="Arial" w:cs="Arial"/>
          <w:color w:val="53565A" w:themeColor="accent3"/>
          <w:sz w:val="20"/>
          <w:szCs w:val="20"/>
        </w:rPr>
      </w:pPr>
      <w:r w:rsidRPr="00260DAA">
        <w:rPr>
          <w:rFonts w:ascii="Arial" w:hAnsi="Arial" w:cs="Arial"/>
          <w:color w:val="53565A" w:themeColor="accent3"/>
          <w:sz w:val="20"/>
          <w:szCs w:val="20"/>
        </w:rPr>
        <w:t xml:space="preserve">An enforceable </w:t>
      </w:r>
      <w:r w:rsidR="000A5159" w:rsidRPr="00260DAA">
        <w:rPr>
          <w:rFonts w:ascii="Arial" w:hAnsi="Arial" w:cs="Arial"/>
          <w:color w:val="53565A" w:themeColor="accent3"/>
          <w:sz w:val="20"/>
          <w:szCs w:val="20"/>
        </w:rPr>
        <w:t xml:space="preserve">written </w:t>
      </w:r>
      <w:r w:rsidRPr="00260DAA">
        <w:rPr>
          <w:rFonts w:ascii="Arial" w:hAnsi="Arial" w:cs="Arial"/>
          <w:color w:val="53565A" w:themeColor="accent3"/>
          <w:sz w:val="20"/>
          <w:szCs w:val="20"/>
        </w:rPr>
        <w:t xml:space="preserve">undertaking </w:t>
      </w:r>
      <w:r w:rsidR="003E0112" w:rsidRPr="00260DAA">
        <w:rPr>
          <w:rFonts w:ascii="Arial" w:hAnsi="Arial" w:cs="Arial"/>
          <w:color w:val="53565A" w:themeColor="accent3"/>
          <w:sz w:val="20"/>
          <w:szCs w:val="20"/>
        </w:rPr>
        <w:t xml:space="preserve">by </w:t>
      </w:r>
      <w:r w:rsidR="0005758A" w:rsidRPr="00260DAA">
        <w:rPr>
          <w:rFonts w:ascii="Arial" w:hAnsi="Arial" w:cs="Arial"/>
          <w:color w:val="53565A" w:themeColor="accent3"/>
          <w:sz w:val="20"/>
          <w:szCs w:val="20"/>
        </w:rPr>
        <w:t xml:space="preserve">a school </w:t>
      </w:r>
      <w:r w:rsidR="000A5159" w:rsidRPr="00260DAA">
        <w:rPr>
          <w:rFonts w:ascii="Arial" w:hAnsi="Arial" w:cs="Arial"/>
          <w:color w:val="53565A" w:themeColor="accent3"/>
          <w:sz w:val="20"/>
          <w:szCs w:val="20"/>
        </w:rPr>
        <w:t xml:space="preserve">(provided by the proprietor or principal) </w:t>
      </w:r>
      <w:r w:rsidR="0005758A" w:rsidRPr="00260DAA">
        <w:rPr>
          <w:rFonts w:ascii="Arial" w:hAnsi="Arial" w:cs="Arial"/>
          <w:color w:val="53565A" w:themeColor="accent3"/>
          <w:sz w:val="20"/>
          <w:szCs w:val="20"/>
        </w:rPr>
        <w:t xml:space="preserve">or </w:t>
      </w:r>
      <w:r w:rsidR="003E0112" w:rsidRPr="00260DAA">
        <w:rPr>
          <w:rFonts w:ascii="Arial" w:hAnsi="Arial" w:cs="Arial"/>
          <w:color w:val="53565A" w:themeColor="accent3"/>
          <w:sz w:val="20"/>
          <w:szCs w:val="20"/>
        </w:rPr>
        <w:t xml:space="preserve">an RTO </w:t>
      </w:r>
      <w:r w:rsidRPr="00260DAA">
        <w:rPr>
          <w:rFonts w:ascii="Arial" w:hAnsi="Arial" w:cs="Arial"/>
          <w:color w:val="53565A" w:themeColor="accent3"/>
          <w:sz w:val="20"/>
          <w:szCs w:val="20"/>
        </w:rPr>
        <w:t>will usually include:</w:t>
      </w:r>
    </w:p>
    <w:p w14:paraId="431A5028" w14:textId="77777777" w:rsidR="0005758A" w:rsidRPr="00260DAA" w:rsidRDefault="00E471DD" w:rsidP="00260DAA">
      <w:pPr>
        <w:numPr>
          <w:ilvl w:val="0"/>
          <w:numId w:val="3"/>
        </w:numPr>
        <w:spacing w:before="120" w:after="240" w:line="240" w:lineRule="auto"/>
        <w:ind w:left="284" w:hanging="284"/>
        <w:rPr>
          <w:rFonts w:ascii="Arial" w:hAnsi="Arial" w:cs="Arial"/>
          <w:color w:val="53565A" w:themeColor="accent3"/>
          <w:sz w:val="20"/>
          <w:szCs w:val="20"/>
        </w:rPr>
      </w:pPr>
      <w:r w:rsidRPr="00260DAA">
        <w:rPr>
          <w:rFonts w:ascii="Arial" w:hAnsi="Arial" w:cs="Arial"/>
          <w:color w:val="53565A" w:themeColor="accent3"/>
          <w:sz w:val="20"/>
          <w:szCs w:val="20"/>
        </w:rPr>
        <w:t>a</w:t>
      </w:r>
      <w:r w:rsidR="002051CC" w:rsidRPr="00260DAA">
        <w:rPr>
          <w:rFonts w:ascii="Arial" w:hAnsi="Arial" w:cs="Arial"/>
          <w:color w:val="53565A" w:themeColor="accent3"/>
          <w:sz w:val="20"/>
          <w:szCs w:val="20"/>
        </w:rPr>
        <w:t xml:space="preserve">n admission that the </w:t>
      </w:r>
      <w:r w:rsidR="0005758A" w:rsidRPr="00260DAA">
        <w:rPr>
          <w:rFonts w:ascii="Arial" w:hAnsi="Arial" w:cs="Arial"/>
          <w:color w:val="53565A" w:themeColor="accent3"/>
          <w:sz w:val="20"/>
          <w:szCs w:val="20"/>
        </w:rPr>
        <w:t xml:space="preserve">school or </w:t>
      </w:r>
      <w:r w:rsidR="002051CC" w:rsidRPr="00260DAA">
        <w:rPr>
          <w:rFonts w:ascii="Arial" w:hAnsi="Arial" w:cs="Arial"/>
          <w:color w:val="53565A" w:themeColor="accent3"/>
          <w:sz w:val="20"/>
          <w:szCs w:val="20"/>
        </w:rPr>
        <w:t xml:space="preserve">RTO </w:t>
      </w:r>
      <w:r w:rsidR="0005758A" w:rsidRPr="00260DAA">
        <w:rPr>
          <w:rFonts w:ascii="Arial" w:hAnsi="Arial" w:cs="Arial"/>
          <w:color w:val="53565A" w:themeColor="accent3"/>
          <w:sz w:val="20"/>
          <w:szCs w:val="20"/>
        </w:rPr>
        <w:t>has not complied or is not currently fully compliant with</w:t>
      </w:r>
      <w:r w:rsidR="00321F5F">
        <w:rPr>
          <w:rFonts w:ascii="Arial" w:hAnsi="Arial" w:cs="Arial"/>
          <w:color w:val="53565A" w:themeColor="accent3"/>
          <w:sz w:val="20"/>
          <w:szCs w:val="20"/>
        </w:rPr>
        <w:t>:</w:t>
      </w:r>
    </w:p>
    <w:p w14:paraId="6381DE8E" w14:textId="77777777" w:rsidR="0005758A" w:rsidRPr="00260DAA" w:rsidRDefault="0005758A" w:rsidP="00262C8A">
      <w:pPr>
        <w:pStyle w:val="ListParagraph"/>
        <w:numPr>
          <w:ilvl w:val="0"/>
          <w:numId w:val="4"/>
        </w:numPr>
        <w:spacing w:before="120" w:after="120" w:line="240" w:lineRule="auto"/>
        <w:ind w:left="709" w:hanging="284"/>
        <w:contextualSpacing w:val="0"/>
        <w:rPr>
          <w:rFonts w:ascii="Arial" w:hAnsi="Arial" w:cs="Arial"/>
          <w:color w:val="53565A" w:themeColor="accent3"/>
          <w:sz w:val="20"/>
          <w:szCs w:val="20"/>
        </w:rPr>
      </w:pPr>
      <w:r w:rsidRPr="00260DAA">
        <w:rPr>
          <w:rFonts w:ascii="Arial" w:hAnsi="Arial" w:cs="Arial"/>
          <w:color w:val="53565A" w:themeColor="accent3"/>
          <w:sz w:val="20"/>
          <w:szCs w:val="20"/>
        </w:rPr>
        <w:t>one or more prescribed minimum standards for registration (in the case of a school), or</w:t>
      </w:r>
    </w:p>
    <w:p w14:paraId="0843C721" w14:textId="77777777" w:rsidR="002051CC" w:rsidRPr="00260DAA" w:rsidRDefault="0005758A" w:rsidP="00321F5F">
      <w:pPr>
        <w:pStyle w:val="ListParagraph"/>
        <w:numPr>
          <w:ilvl w:val="0"/>
          <w:numId w:val="4"/>
        </w:numPr>
        <w:spacing w:before="120" w:after="120" w:line="240" w:lineRule="auto"/>
        <w:ind w:left="709"/>
        <w:contextualSpacing w:val="0"/>
        <w:rPr>
          <w:rFonts w:ascii="Arial" w:hAnsi="Arial" w:cs="Arial"/>
          <w:color w:val="53565A" w:themeColor="accent3"/>
          <w:sz w:val="20"/>
          <w:szCs w:val="20"/>
        </w:rPr>
      </w:pPr>
      <w:r w:rsidRPr="00260DAA">
        <w:rPr>
          <w:rFonts w:ascii="Arial" w:hAnsi="Arial" w:cs="Arial"/>
          <w:color w:val="53565A" w:themeColor="accent3"/>
          <w:sz w:val="20"/>
          <w:szCs w:val="20"/>
        </w:rPr>
        <w:t xml:space="preserve">one or more </w:t>
      </w:r>
      <w:r w:rsidR="00C959F4" w:rsidRPr="00260DAA">
        <w:rPr>
          <w:rFonts w:ascii="Arial" w:hAnsi="Arial" w:cs="Arial"/>
          <w:color w:val="53565A" w:themeColor="accent3"/>
          <w:sz w:val="20"/>
          <w:szCs w:val="20"/>
        </w:rPr>
        <w:t xml:space="preserve">RTO standards </w:t>
      </w:r>
      <w:r w:rsidR="00321F5F">
        <w:rPr>
          <w:rFonts w:ascii="Arial" w:hAnsi="Arial" w:cs="Arial"/>
          <w:color w:val="53565A" w:themeColor="accent3"/>
          <w:sz w:val="20"/>
          <w:szCs w:val="20"/>
        </w:rPr>
        <w:t xml:space="preserve">including the </w:t>
      </w:r>
      <w:r w:rsidR="00321F5F" w:rsidRPr="00321F5F">
        <w:rPr>
          <w:rFonts w:ascii="Arial" w:hAnsi="Arial" w:cs="Arial"/>
          <w:color w:val="53565A" w:themeColor="accent3"/>
          <w:sz w:val="20"/>
          <w:szCs w:val="20"/>
        </w:rPr>
        <w:t xml:space="preserve">Australian Quality Training Framework </w:t>
      </w:r>
      <w:r w:rsidR="00321F5F">
        <w:rPr>
          <w:rFonts w:ascii="Arial" w:hAnsi="Arial" w:cs="Arial"/>
          <w:color w:val="53565A" w:themeColor="accent3"/>
          <w:sz w:val="20"/>
          <w:szCs w:val="20"/>
        </w:rPr>
        <w:t>(</w:t>
      </w:r>
      <w:r w:rsidR="002051CC" w:rsidRPr="00260DAA">
        <w:rPr>
          <w:rFonts w:ascii="Arial" w:hAnsi="Arial" w:cs="Arial"/>
          <w:color w:val="53565A" w:themeColor="accent3"/>
          <w:sz w:val="20"/>
          <w:szCs w:val="20"/>
        </w:rPr>
        <w:t>AQTF</w:t>
      </w:r>
      <w:r w:rsidR="00321F5F">
        <w:rPr>
          <w:rFonts w:ascii="Arial" w:hAnsi="Arial" w:cs="Arial"/>
          <w:color w:val="53565A" w:themeColor="accent3"/>
          <w:sz w:val="20"/>
          <w:szCs w:val="20"/>
        </w:rPr>
        <w:t>)</w:t>
      </w:r>
      <w:r w:rsidR="00C959F4" w:rsidRPr="00260DAA">
        <w:rPr>
          <w:rFonts w:ascii="Arial" w:hAnsi="Arial" w:cs="Arial"/>
          <w:color w:val="53565A" w:themeColor="accent3"/>
          <w:sz w:val="20"/>
          <w:szCs w:val="20"/>
        </w:rPr>
        <w:t xml:space="preserve"> and VRQA VET Guidelines</w:t>
      </w:r>
      <w:r w:rsidRPr="00260DAA">
        <w:rPr>
          <w:rFonts w:ascii="Arial" w:hAnsi="Arial" w:cs="Arial"/>
          <w:color w:val="53565A" w:themeColor="accent3"/>
          <w:sz w:val="20"/>
          <w:szCs w:val="20"/>
        </w:rPr>
        <w:t xml:space="preserve"> (in the case of an RTO</w:t>
      </w:r>
      <w:r w:rsidR="006036A4" w:rsidRPr="00260DAA">
        <w:rPr>
          <w:rFonts w:ascii="Arial" w:hAnsi="Arial" w:cs="Arial"/>
          <w:color w:val="53565A" w:themeColor="accent3"/>
          <w:sz w:val="20"/>
          <w:szCs w:val="20"/>
        </w:rPr>
        <w:t>), or</w:t>
      </w:r>
    </w:p>
    <w:p w14:paraId="2B3AF2CA" w14:textId="77777777" w:rsidR="00BF155C" w:rsidRPr="00260DAA" w:rsidRDefault="006036A4" w:rsidP="00262C8A">
      <w:pPr>
        <w:pStyle w:val="ListParagraph"/>
        <w:numPr>
          <w:ilvl w:val="0"/>
          <w:numId w:val="4"/>
        </w:numPr>
        <w:spacing w:before="120" w:after="120" w:line="240" w:lineRule="auto"/>
        <w:ind w:left="709" w:hanging="284"/>
        <w:contextualSpacing w:val="0"/>
        <w:rPr>
          <w:rFonts w:ascii="Arial" w:hAnsi="Arial" w:cs="Arial"/>
          <w:color w:val="53565A" w:themeColor="accent3"/>
          <w:sz w:val="20"/>
          <w:szCs w:val="20"/>
        </w:rPr>
      </w:pPr>
      <w:r w:rsidRPr="00260DAA">
        <w:rPr>
          <w:rFonts w:ascii="Arial" w:hAnsi="Arial" w:cs="Arial"/>
          <w:color w:val="53565A" w:themeColor="accent3"/>
          <w:sz w:val="20"/>
          <w:szCs w:val="20"/>
        </w:rPr>
        <w:t>one or more requirements for approval to offer a course of study to overseas stude</w:t>
      </w:r>
      <w:r w:rsidR="00B4311E" w:rsidRPr="00260DAA">
        <w:rPr>
          <w:rFonts w:ascii="Arial" w:hAnsi="Arial" w:cs="Arial"/>
          <w:color w:val="53565A" w:themeColor="accent3"/>
          <w:sz w:val="20"/>
          <w:szCs w:val="20"/>
        </w:rPr>
        <w:t>nts (in the case of a school or</w:t>
      </w:r>
      <w:r w:rsidR="004C219B" w:rsidRPr="00260DAA">
        <w:rPr>
          <w:rFonts w:ascii="Arial" w:hAnsi="Arial" w:cs="Arial"/>
          <w:color w:val="53565A" w:themeColor="accent3"/>
          <w:sz w:val="20"/>
          <w:szCs w:val="20"/>
        </w:rPr>
        <w:t xml:space="preserve"> </w:t>
      </w:r>
      <w:r w:rsidRPr="00260DAA">
        <w:rPr>
          <w:rFonts w:ascii="Arial" w:hAnsi="Arial" w:cs="Arial"/>
          <w:color w:val="53565A" w:themeColor="accent3"/>
          <w:sz w:val="20"/>
          <w:szCs w:val="20"/>
        </w:rPr>
        <w:t>RTO)</w:t>
      </w:r>
    </w:p>
    <w:p w14:paraId="0F80F2E6" w14:textId="77777777" w:rsidR="002051CC" w:rsidRPr="00260DAA" w:rsidRDefault="00E471DD" w:rsidP="00262C8A">
      <w:pPr>
        <w:numPr>
          <w:ilvl w:val="0"/>
          <w:numId w:val="3"/>
        </w:numPr>
        <w:spacing w:before="120" w:after="120" w:line="240" w:lineRule="auto"/>
        <w:ind w:left="284" w:hanging="284"/>
        <w:rPr>
          <w:rFonts w:ascii="Arial" w:hAnsi="Arial" w:cs="Arial"/>
          <w:color w:val="53565A" w:themeColor="accent3"/>
          <w:sz w:val="20"/>
          <w:szCs w:val="20"/>
        </w:rPr>
      </w:pPr>
      <w:r w:rsidRPr="00260DAA">
        <w:rPr>
          <w:rFonts w:ascii="Arial" w:hAnsi="Arial" w:cs="Arial"/>
          <w:color w:val="53565A" w:themeColor="accent3"/>
          <w:sz w:val="20"/>
          <w:szCs w:val="20"/>
        </w:rPr>
        <w:t>s</w:t>
      </w:r>
      <w:r w:rsidR="002051CC" w:rsidRPr="00260DAA">
        <w:rPr>
          <w:rFonts w:ascii="Arial" w:hAnsi="Arial" w:cs="Arial"/>
          <w:color w:val="53565A" w:themeColor="accent3"/>
          <w:sz w:val="20"/>
          <w:szCs w:val="20"/>
        </w:rPr>
        <w:t xml:space="preserve">teps </w:t>
      </w:r>
      <w:r w:rsidR="0005758A" w:rsidRPr="00260DAA">
        <w:rPr>
          <w:rFonts w:ascii="Arial" w:hAnsi="Arial" w:cs="Arial"/>
          <w:color w:val="53565A" w:themeColor="accent3"/>
          <w:sz w:val="20"/>
          <w:szCs w:val="20"/>
        </w:rPr>
        <w:t xml:space="preserve">that </w:t>
      </w:r>
      <w:r w:rsidR="008E3482" w:rsidRPr="00260DAA">
        <w:rPr>
          <w:rFonts w:ascii="Arial" w:hAnsi="Arial" w:cs="Arial"/>
          <w:color w:val="53565A" w:themeColor="accent3"/>
          <w:sz w:val="20"/>
          <w:szCs w:val="20"/>
        </w:rPr>
        <w:t xml:space="preserve">the </w:t>
      </w:r>
      <w:r w:rsidR="0005758A" w:rsidRPr="00260DAA">
        <w:rPr>
          <w:rFonts w:ascii="Arial" w:hAnsi="Arial" w:cs="Arial"/>
          <w:color w:val="53565A" w:themeColor="accent3"/>
          <w:sz w:val="20"/>
          <w:szCs w:val="20"/>
        </w:rPr>
        <w:t xml:space="preserve">school or </w:t>
      </w:r>
      <w:r w:rsidR="008E3482" w:rsidRPr="00260DAA">
        <w:rPr>
          <w:rFonts w:ascii="Arial" w:hAnsi="Arial" w:cs="Arial"/>
          <w:color w:val="53565A" w:themeColor="accent3"/>
          <w:sz w:val="20"/>
          <w:szCs w:val="20"/>
        </w:rPr>
        <w:t>RTO</w:t>
      </w:r>
      <w:r w:rsidR="002051CC" w:rsidRPr="00260DAA">
        <w:rPr>
          <w:rFonts w:ascii="Arial" w:hAnsi="Arial" w:cs="Arial"/>
          <w:color w:val="53565A" w:themeColor="accent3"/>
          <w:sz w:val="20"/>
          <w:szCs w:val="20"/>
        </w:rPr>
        <w:t xml:space="preserve"> </w:t>
      </w:r>
      <w:r w:rsidR="0005758A" w:rsidRPr="00260DAA">
        <w:rPr>
          <w:rFonts w:ascii="Arial" w:hAnsi="Arial" w:cs="Arial"/>
          <w:color w:val="53565A" w:themeColor="accent3"/>
          <w:sz w:val="20"/>
          <w:szCs w:val="20"/>
        </w:rPr>
        <w:t xml:space="preserve">will </w:t>
      </w:r>
      <w:r w:rsidR="002051CC" w:rsidRPr="00260DAA">
        <w:rPr>
          <w:rFonts w:ascii="Arial" w:hAnsi="Arial" w:cs="Arial"/>
          <w:color w:val="53565A" w:themeColor="accent3"/>
          <w:sz w:val="20"/>
          <w:szCs w:val="20"/>
        </w:rPr>
        <w:t xml:space="preserve">take to </w:t>
      </w:r>
      <w:r w:rsidR="001409A2" w:rsidRPr="00260DAA">
        <w:rPr>
          <w:rFonts w:ascii="Arial" w:hAnsi="Arial" w:cs="Arial"/>
          <w:color w:val="53565A" w:themeColor="accent3"/>
          <w:sz w:val="20"/>
          <w:szCs w:val="20"/>
        </w:rPr>
        <w:t>reach compliance</w:t>
      </w:r>
      <w:r w:rsidR="002051CC" w:rsidRPr="00260DAA">
        <w:rPr>
          <w:rFonts w:ascii="Arial" w:hAnsi="Arial" w:cs="Arial"/>
          <w:color w:val="53565A" w:themeColor="accent3"/>
          <w:sz w:val="20"/>
          <w:szCs w:val="20"/>
        </w:rPr>
        <w:t>, such as rectification work</w:t>
      </w:r>
      <w:r w:rsidR="001409A2" w:rsidRPr="00260DAA">
        <w:rPr>
          <w:rFonts w:ascii="Arial" w:hAnsi="Arial" w:cs="Arial"/>
          <w:color w:val="53565A" w:themeColor="accent3"/>
          <w:sz w:val="20"/>
          <w:szCs w:val="20"/>
        </w:rPr>
        <w:t xml:space="preserve"> (including updating or redeveloping a policy or procedure)</w:t>
      </w:r>
      <w:r w:rsidR="002051CC" w:rsidRPr="00260DAA">
        <w:rPr>
          <w:rFonts w:ascii="Arial" w:hAnsi="Arial" w:cs="Arial"/>
          <w:color w:val="53565A" w:themeColor="accent3"/>
          <w:sz w:val="20"/>
          <w:szCs w:val="20"/>
        </w:rPr>
        <w:t xml:space="preserve">, </w:t>
      </w:r>
      <w:r w:rsidRPr="00260DAA">
        <w:rPr>
          <w:rFonts w:ascii="Arial" w:hAnsi="Arial" w:cs="Arial"/>
          <w:color w:val="53565A" w:themeColor="accent3"/>
          <w:sz w:val="20"/>
          <w:szCs w:val="20"/>
        </w:rPr>
        <w:t>re</w:t>
      </w:r>
      <w:r w:rsidR="002051CC" w:rsidRPr="00260DAA">
        <w:rPr>
          <w:rFonts w:ascii="Arial" w:hAnsi="Arial" w:cs="Arial"/>
          <w:color w:val="53565A" w:themeColor="accent3"/>
          <w:sz w:val="20"/>
          <w:szCs w:val="20"/>
        </w:rPr>
        <w:t xml:space="preserve">training </w:t>
      </w:r>
      <w:r w:rsidR="001C1764" w:rsidRPr="00260DAA">
        <w:rPr>
          <w:rFonts w:ascii="Arial" w:hAnsi="Arial" w:cs="Arial"/>
          <w:color w:val="53565A" w:themeColor="accent3"/>
          <w:sz w:val="20"/>
          <w:szCs w:val="20"/>
        </w:rPr>
        <w:t>and /or assessment</w:t>
      </w:r>
    </w:p>
    <w:p w14:paraId="60F307EB" w14:textId="77777777" w:rsidR="002051CC" w:rsidRPr="00260DAA" w:rsidRDefault="00E471DD" w:rsidP="00262C8A">
      <w:pPr>
        <w:numPr>
          <w:ilvl w:val="0"/>
          <w:numId w:val="3"/>
        </w:numPr>
        <w:spacing w:before="120" w:after="120" w:line="240" w:lineRule="auto"/>
        <w:ind w:left="284" w:hanging="284"/>
        <w:rPr>
          <w:rFonts w:ascii="Arial" w:hAnsi="Arial" w:cs="Arial"/>
          <w:color w:val="53565A" w:themeColor="accent3"/>
          <w:sz w:val="20"/>
          <w:szCs w:val="20"/>
        </w:rPr>
      </w:pPr>
      <w:r w:rsidRPr="00260DAA">
        <w:rPr>
          <w:rFonts w:ascii="Arial" w:hAnsi="Arial" w:cs="Arial"/>
          <w:color w:val="53565A" w:themeColor="accent3"/>
          <w:sz w:val="20"/>
          <w:szCs w:val="20"/>
        </w:rPr>
        <w:t>a</w:t>
      </w:r>
      <w:r w:rsidR="002051CC" w:rsidRPr="00260DAA">
        <w:rPr>
          <w:rFonts w:ascii="Arial" w:hAnsi="Arial" w:cs="Arial"/>
          <w:color w:val="53565A" w:themeColor="accent3"/>
          <w:sz w:val="20"/>
          <w:szCs w:val="20"/>
        </w:rPr>
        <w:t>n acknowledgement that the</w:t>
      </w:r>
      <w:r w:rsidR="001409A2" w:rsidRPr="00260DAA">
        <w:rPr>
          <w:rFonts w:ascii="Arial" w:hAnsi="Arial" w:cs="Arial"/>
          <w:color w:val="53565A" w:themeColor="accent3"/>
          <w:sz w:val="20"/>
          <w:szCs w:val="20"/>
        </w:rPr>
        <w:t xml:space="preserve"> school or</w:t>
      </w:r>
      <w:r w:rsidR="002051CC" w:rsidRPr="00260DAA">
        <w:rPr>
          <w:rFonts w:ascii="Arial" w:hAnsi="Arial" w:cs="Arial"/>
          <w:color w:val="53565A" w:themeColor="accent3"/>
          <w:sz w:val="20"/>
          <w:szCs w:val="20"/>
        </w:rPr>
        <w:t xml:space="preserve"> RTO has had an opportunity to seek legal, commercial or financial advice</w:t>
      </w:r>
      <w:r w:rsidR="00F42F1D" w:rsidRPr="00260DAA">
        <w:rPr>
          <w:rFonts w:ascii="Arial" w:hAnsi="Arial" w:cs="Arial"/>
          <w:color w:val="53565A" w:themeColor="accent3"/>
          <w:sz w:val="20"/>
          <w:szCs w:val="20"/>
        </w:rPr>
        <w:t xml:space="preserve"> (as may be relevant)</w:t>
      </w:r>
    </w:p>
    <w:p w14:paraId="66839C35" w14:textId="77777777" w:rsidR="00D87966" w:rsidRPr="00260DAA" w:rsidRDefault="005C3411" w:rsidP="00262C8A">
      <w:pPr>
        <w:numPr>
          <w:ilvl w:val="0"/>
          <w:numId w:val="3"/>
        </w:numPr>
        <w:spacing w:before="120" w:after="120" w:line="240" w:lineRule="auto"/>
        <w:ind w:left="284" w:hanging="284"/>
        <w:rPr>
          <w:rFonts w:ascii="Arial" w:hAnsi="Arial" w:cs="Arial"/>
          <w:color w:val="53565A" w:themeColor="accent3"/>
          <w:sz w:val="20"/>
          <w:szCs w:val="20"/>
        </w:rPr>
      </w:pPr>
      <w:r w:rsidRPr="00260DAA">
        <w:rPr>
          <w:rFonts w:ascii="Arial" w:hAnsi="Arial" w:cs="Arial"/>
          <w:color w:val="53565A" w:themeColor="accent3"/>
          <w:sz w:val="20"/>
          <w:szCs w:val="20"/>
        </w:rPr>
        <w:t xml:space="preserve">an admission that the </w:t>
      </w:r>
      <w:r w:rsidR="0051604C" w:rsidRPr="00260DAA">
        <w:rPr>
          <w:rFonts w:ascii="Arial" w:hAnsi="Arial" w:cs="Arial"/>
          <w:color w:val="53565A" w:themeColor="accent3"/>
          <w:sz w:val="20"/>
          <w:szCs w:val="20"/>
        </w:rPr>
        <w:t xml:space="preserve">school or </w:t>
      </w:r>
      <w:r w:rsidRPr="00260DAA">
        <w:rPr>
          <w:rFonts w:ascii="Arial" w:hAnsi="Arial" w:cs="Arial"/>
          <w:color w:val="53565A" w:themeColor="accent3"/>
          <w:sz w:val="20"/>
          <w:szCs w:val="20"/>
        </w:rPr>
        <w:t xml:space="preserve">RTO has contravened </w:t>
      </w:r>
      <w:r w:rsidR="00A0764A" w:rsidRPr="00260DAA">
        <w:rPr>
          <w:rFonts w:ascii="Arial" w:hAnsi="Arial" w:cs="Arial"/>
          <w:color w:val="53565A" w:themeColor="accent3"/>
          <w:sz w:val="20"/>
          <w:szCs w:val="20"/>
        </w:rPr>
        <w:t xml:space="preserve">another </w:t>
      </w:r>
      <w:r w:rsidR="0051604C" w:rsidRPr="00260DAA">
        <w:rPr>
          <w:rFonts w:ascii="Arial" w:hAnsi="Arial" w:cs="Arial"/>
          <w:color w:val="53565A" w:themeColor="accent3"/>
          <w:sz w:val="20"/>
          <w:szCs w:val="20"/>
        </w:rPr>
        <w:t xml:space="preserve">part of </w:t>
      </w:r>
      <w:r w:rsidRPr="00260DAA">
        <w:rPr>
          <w:rFonts w:ascii="Arial" w:hAnsi="Arial" w:cs="Arial"/>
          <w:color w:val="53565A" w:themeColor="accent3"/>
          <w:sz w:val="20"/>
          <w:szCs w:val="20"/>
        </w:rPr>
        <w:t xml:space="preserve">the Act </w:t>
      </w:r>
      <w:r w:rsidR="0051604C" w:rsidRPr="00260DAA">
        <w:rPr>
          <w:rFonts w:ascii="Arial" w:hAnsi="Arial" w:cs="Arial"/>
          <w:color w:val="53565A" w:themeColor="accent3"/>
          <w:sz w:val="20"/>
          <w:szCs w:val="20"/>
        </w:rPr>
        <w:t>under which the</w:t>
      </w:r>
      <w:r w:rsidR="00A0764A" w:rsidRPr="00260DAA">
        <w:rPr>
          <w:rFonts w:ascii="Arial" w:hAnsi="Arial" w:cs="Arial"/>
          <w:color w:val="53565A" w:themeColor="accent3"/>
          <w:sz w:val="20"/>
          <w:szCs w:val="20"/>
        </w:rPr>
        <w:t xml:space="preserve"> VRQA has a power or function</w:t>
      </w:r>
    </w:p>
    <w:p w14:paraId="620C954A" w14:textId="77777777" w:rsidR="002051CC" w:rsidRPr="00260DAA" w:rsidRDefault="00E471DD" w:rsidP="00262C8A">
      <w:pPr>
        <w:numPr>
          <w:ilvl w:val="0"/>
          <w:numId w:val="3"/>
        </w:numPr>
        <w:spacing w:before="120" w:after="120" w:line="240" w:lineRule="auto"/>
        <w:ind w:left="284" w:hanging="284"/>
        <w:rPr>
          <w:rFonts w:ascii="Arial" w:hAnsi="Arial" w:cs="Arial"/>
          <w:color w:val="53565A" w:themeColor="accent3"/>
          <w:sz w:val="20"/>
          <w:szCs w:val="20"/>
        </w:rPr>
      </w:pPr>
      <w:r w:rsidRPr="00260DAA">
        <w:rPr>
          <w:rFonts w:ascii="Arial" w:hAnsi="Arial" w:cs="Arial"/>
          <w:color w:val="53565A" w:themeColor="accent3"/>
          <w:sz w:val="20"/>
          <w:szCs w:val="20"/>
        </w:rPr>
        <w:t>a</w:t>
      </w:r>
      <w:r w:rsidR="002051CC" w:rsidRPr="00260DAA">
        <w:rPr>
          <w:rFonts w:ascii="Arial" w:hAnsi="Arial" w:cs="Arial"/>
          <w:color w:val="53565A" w:themeColor="accent3"/>
          <w:sz w:val="20"/>
          <w:szCs w:val="20"/>
        </w:rPr>
        <w:t xml:space="preserve">n acknowledgement </w:t>
      </w:r>
      <w:r w:rsidR="005C3411" w:rsidRPr="00260DAA">
        <w:rPr>
          <w:rFonts w:ascii="Arial" w:hAnsi="Arial" w:cs="Arial"/>
          <w:color w:val="53565A" w:themeColor="accent3"/>
          <w:sz w:val="20"/>
          <w:szCs w:val="20"/>
        </w:rPr>
        <w:t xml:space="preserve">by the school or RTO </w:t>
      </w:r>
      <w:r w:rsidR="002051CC" w:rsidRPr="00260DAA">
        <w:rPr>
          <w:rFonts w:ascii="Arial" w:hAnsi="Arial" w:cs="Arial"/>
          <w:color w:val="53565A" w:themeColor="accent3"/>
          <w:sz w:val="20"/>
          <w:szCs w:val="20"/>
        </w:rPr>
        <w:t>that failure to take the steps set out in the enforceable undertaking may lead to further action by the VRQA.</w:t>
      </w:r>
    </w:p>
    <w:p w14:paraId="17C81146" w14:textId="77777777" w:rsidR="002051CC" w:rsidRPr="00260DAA" w:rsidRDefault="002051CC" w:rsidP="00260DAA">
      <w:pPr>
        <w:spacing w:before="120" w:after="240" w:line="240" w:lineRule="auto"/>
        <w:rPr>
          <w:rFonts w:ascii="Arial" w:hAnsi="Arial" w:cs="Arial"/>
          <w:color w:val="53565A" w:themeColor="accent3"/>
          <w:sz w:val="20"/>
          <w:szCs w:val="20"/>
        </w:rPr>
      </w:pPr>
      <w:r w:rsidRPr="00260DAA">
        <w:rPr>
          <w:rFonts w:ascii="Arial" w:hAnsi="Arial" w:cs="Arial"/>
          <w:color w:val="53565A" w:themeColor="accent3"/>
          <w:sz w:val="20"/>
          <w:szCs w:val="20"/>
        </w:rPr>
        <w:t xml:space="preserve">Once </w:t>
      </w:r>
      <w:r w:rsidR="000378F4" w:rsidRPr="00260DAA">
        <w:rPr>
          <w:rFonts w:ascii="Arial" w:hAnsi="Arial" w:cs="Arial"/>
          <w:color w:val="53565A" w:themeColor="accent3"/>
          <w:sz w:val="20"/>
          <w:szCs w:val="20"/>
        </w:rPr>
        <w:t xml:space="preserve">a school or </w:t>
      </w:r>
      <w:r w:rsidR="00E471DD" w:rsidRPr="00260DAA">
        <w:rPr>
          <w:rFonts w:ascii="Arial" w:hAnsi="Arial" w:cs="Arial"/>
          <w:color w:val="53565A" w:themeColor="accent3"/>
          <w:sz w:val="20"/>
          <w:szCs w:val="20"/>
        </w:rPr>
        <w:t xml:space="preserve">RTO </w:t>
      </w:r>
      <w:r w:rsidR="008E3482" w:rsidRPr="00260DAA">
        <w:rPr>
          <w:rFonts w:ascii="Arial" w:hAnsi="Arial" w:cs="Arial"/>
          <w:color w:val="53565A" w:themeColor="accent3"/>
          <w:sz w:val="20"/>
          <w:szCs w:val="20"/>
        </w:rPr>
        <w:t>has entered into an enforceable undertaking, it may only be withdrawn or varied with the VRQA’s consent. Importantly, an undertaking will not automatically be withdrawn</w:t>
      </w:r>
      <w:r w:rsidR="00F51F3D" w:rsidRPr="00260DAA">
        <w:rPr>
          <w:rFonts w:ascii="Arial" w:hAnsi="Arial" w:cs="Arial"/>
          <w:color w:val="53565A" w:themeColor="accent3"/>
          <w:sz w:val="20"/>
          <w:szCs w:val="20"/>
        </w:rPr>
        <w:t xml:space="preserve"> </w:t>
      </w:r>
      <w:r w:rsidR="00CC0143" w:rsidRPr="00260DAA">
        <w:rPr>
          <w:rFonts w:ascii="Arial" w:hAnsi="Arial" w:cs="Arial"/>
          <w:color w:val="53565A" w:themeColor="accent3"/>
          <w:sz w:val="20"/>
          <w:szCs w:val="20"/>
        </w:rPr>
        <w:t>just because</w:t>
      </w:r>
      <w:r w:rsidR="008E3482" w:rsidRPr="00260DAA">
        <w:rPr>
          <w:rFonts w:ascii="Arial" w:hAnsi="Arial" w:cs="Arial"/>
          <w:color w:val="53565A" w:themeColor="accent3"/>
          <w:sz w:val="20"/>
          <w:szCs w:val="20"/>
        </w:rPr>
        <w:t xml:space="preserve"> </w:t>
      </w:r>
      <w:r w:rsidR="00F51F3D" w:rsidRPr="00260DAA">
        <w:rPr>
          <w:rFonts w:ascii="Arial" w:hAnsi="Arial" w:cs="Arial"/>
          <w:color w:val="53565A" w:themeColor="accent3"/>
          <w:sz w:val="20"/>
          <w:szCs w:val="20"/>
        </w:rPr>
        <w:t xml:space="preserve">a school or </w:t>
      </w:r>
      <w:r w:rsidR="00E471DD" w:rsidRPr="00260DAA">
        <w:rPr>
          <w:rFonts w:ascii="Arial" w:hAnsi="Arial" w:cs="Arial"/>
          <w:color w:val="53565A" w:themeColor="accent3"/>
          <w:sz w:val="20"/>
          <w:szCs w:val="20"/>
        </w:rPr>
        <w:t xml:space="preserve">RTO </w:t>
      </w:r>
      <w:r w:rsidR="008E3482" w:rsidRPr="00260DAA">
        <w:rPr>
          <w:rFonts w:ascii="Arial" w:hAnsi="Arial" w:cs="Arial"/>
          <w:color w:val="53565A" w:themeColor="accent3"/>
          <w:sz w:val="20"/>
          <w:szCs w:val="20"/>
        </w:rPr>
        <w:t xml:space="preserve">has complied </w:t>
      </w:r>
      <w:r w:rsidR="00F42F1D" w:rsidRPr="00260DAA">
        <w:rPr>
          <w:rFonts w:ascii="Arial" w:hAnsi="Arial" w:cs="Arial"/>
          <w:color w:val="53565A" w:themeColor="accent3"/>
          <w:sz w:val="20"/>
          <w:szCs w:val="20"/>
        </w:rPr>
        <w:t>with it.</w:t>
      </w:r>
    </w:p>
    <w:p w14:paraId="714B78A7" w14:textId="77777777" w:rsidR="00E1261D" w:rsidRDefault="00E1261D">
      <w:pPr>
        <w:spacing w:after="0" w:line="240" w:lineRule="auto"/>
        <w:rPr>
          <w:rFonts w:ascii="Arial" w:hAnsi="Arial" w:cs="Arial"/>
          <w:b/>
          <w:color w:val="103D64" w:themeColor="text2"/>
          <w:sz w:val="20"/>
          <w:szCs w:val="20"/>
        </w:rPr>
      </w:pPr>
      <w:r>
        <w:rPr>
          <w:rFonts w:ascii="Arial" w:hAnsi="Arial" w:cs="Arial"/>
          <w:b/>
          <w:color w:val="103D64" w:themeColor="text2"/>
          <w:sz w:val="20"/>
          <w:szCs w:val="20"/>
        </w:rPr>
        <w:br w:type="page"/>
      </w:r>
    </w:p>
    <w:p w14:paraId="776090C8" w14:textId="77777777" w:rsidR="008E3482" w:rsidRPr="00260DAA" w:rsidRDefault="008E3482" w:rsidP="006B4C97">
      <w:pPr>
        <w:spacing w:before="240" w:after="120" w:line="240" w:lineRule="auto"/>
        <w:rPr>
          <w:rFonts w:ascii="Arial" w:hAnsi="Arial" w:cs="Arial"/>
          <w:b/>
          <w:color w:val="103D64" w:themeColor="text2"/>
          <w:sz w:val="20"/>
          <w:szCs w:val="20"/>
        </w:rPr>
      </w:pPr>
      <w:r w:rsidRPr="00260DAA">
        <w:rPr>
          <w:rFonts w:ascii="Arial" w:hAnsi="Arial" w:cs="Arial"/>
          <w:b/>
          <w:color w:val="103D64" w:themeColor="text2"/>
          <w:sz w:val="20"/>
          <w:szCs w:val="20"/>
        </w:rPr>
        <w:lastRenderedPageBreak/>
        <w:t>Why use enforceable undertakings?</w:t>
      </w:r>
    </w:p>
    <w:p w14:paraId="4E9F3B12" w14:textId="77777777" w:rsidR="008E3482" w:rsidRPr="00260DAA" w:rsidRDefault="008E3482" w:rsidP="00260DAA">
      <w:pPr>
        <w:spacing w:before="120" w:after="240" w:line="240" w:lineRule="auto"/>
        <w:rPr>
          <w:rFonts w:ascii="Arial" w:hAnsi="Arial" w:cs="Arial"/>
          <w:color w:val="53565A" w:themeColor="accent3"/>
          <w:sz w:val="20"/>
          <w:szCs w:val="20"/>
        </w:rPr>
      </w:pPr>
      <w:r w:rsidRPr="00260DAA">
        <w:rPr>
          <w:rFonts w:ascii="Arial" w:hAnsi="Arial" w:cs="Arial"/>
          <w:color w:val="53565A" w:themeColor="accent3"/>
          <w:sz w:val="20"/>
          <w:szCs w:val="20"/>
        </w:rPr>
        <w:t xml:space="preserve">The VRQA </w:t>
      </w:r>
      <w:r w:rsidR="00FA356C" w:rsidRPr="00260DAA">
        <w:rPr>
          <w:rFonts w:ascii="Arial" w:hAnsi="Arial" w:cs="Arial"/>
          <w:color w:val="53565A" w:themeColor="accent3"/>
          <w:sz w:val="20"/>
          <w:szCs w:val="20"/>
        </w:rPr>
        <w:t>will consider</w:t>
      </w:r>
      <w:r w:rsidRPr="00260DAA">
        <w:rPr>
          <w:rFonts w:ascii="Arial" w:hAnsi="Arial" w:cs="Arial"/>
          <w:color w:val="53565A" w:themeColor="accent3"/>
          <w:sz w:val="20"/>
          <w:szCs w:val="20"/>
        </w:rPr>
        <w:t xml:space="preserve"> us</w:t>
      </w:r>
      <w:r w:rsidR="00FA356C" w:rsidRPr="00260DAA">
        <w:rPr>
          <w:rFonts w:ascii="Arial" w:hAnsi="Arial" w:cs="Arial"/>
          <w:color w:val="53565A" w:themeColor="accent3"/>
          <w:sz w:val="20"/>
          <w:szCs w:val="20"/>
        </w:rPr>
        <w:t>ing</w:t>
      </w:r>
      <w:r w:rsidRPr="00260DAA">
        <w:rPr>
          <w:rFonts w:ascii="Arial" w:hAnsi="Arial" w:cs="Arial"/>
          <w:color w:val="53565A" w:themeColor="accent3"/>
          <w:sz w:val="20"/>
          <w:szCs w:val="20"/>
        </w:rPr>
        <w:t xml:space="preserve"> enforceable undertakings in circumstances where:</w:t>
      </w:r>
    </w:p>
    <w:p w14:paraId="4DAA0977" w14:textId="77777777" w:rsidR="00FA356C" w:rsidRPr="00260DAA" w:rsidRDefault="00F41A7C" w:rsidP="00262C8A">
      <w:pPr>
        <w:numPr>
          <w:ilvl w:val="0"/>
          <w:numId w:val="3"/>
        </w:numPr>
        <w:spacing w:before="120" w:after="120" w:line="240" w:lineRule="auto"/>
        <w:ind w:left="284" w:hanging="284"/>
        <w:rPr>
          <w:rFonts w:ascii="Arial" w:hAnsi="Arial" w:cs="Arial"/>
          <w:color w:val="53565A" w:themeColor="accent3"/>
          <w:sz w:val="20"/>
          <w:szCs w:val="20"/>
        </w:rPr>
      </w:pPr>
      <w:r w:rsidRPr="00260DAA">
        <w:rPr>
          <w:rFonts w:ascii="Arial" w:hAnsi="Arial" w:cs="Arial"/>
          <w:color w:val="53565A" w:themeColor="accent3"/>
          <w:sz w:val="20"/>
          <w:szCs w:val="20"/>
        </w:rPr>
        <w:t xml:space="preserve">the instances of non-compliance identified by a school </w:t>
      </w:r>
      <w:r w:rsidR="000F42BB" w:rsidRPr="00260DAA">
        <w:rPr>
          <w:rFonts w:ascii="Arial" w:hAnsi="Arial" w:cs="Arial"/>
          <w:color w:val="53565A" w:themeColor="accent3"/>
          <w:sz w:val="20"/>
          <w:szCs w:val="20"/>
        </w:rPr>
        <w:t xml:space="preserve">or RTO </w:t>
      </w:r>
      <w:r w:rsidRPr="00260DAA">
        <w:rPr>
          <w:rFonts w:ascii="Arial" w:hAnsi="Arial" w:cs="Arial"/>
          <w:color w:val="53565A" w:themeColor="accent3"/>
          <w:sz w:val="20"/>
          <w:szCs w:val="20"/>
        </w:rPr>
        <w:t>are not so significant to warrant other action such as the imposition of conditions, suspension or cancellation of registration and the VRQA is confident that the undertaking will be implemented</w:t>
      </w:r>
    </w:p>
    <w:p w14:paraId="0F39F19A" w14:textId="77777777" w:rsidR="008E3482" w:rsidRPr="00260DAA" w:rsidRDefault="00C86F89" w:rsidP="00262C8A">
      <w:pPr>
        <w:numPr>
          <w:ilvl w:val="0"/>
          <w:numId w:val="3"/>
        </w:numPr>
        <w:spacing w:before="120" w:after="120" w:line="240" w:lineRule="auto"/>
        <w:ind w:left="284" w:hanging="284"/>
        <w:rPr>
          <w:rFonts w:ascii="Arial" w:hAnsi="Arial" w:cs="Arial"/>
          <w:color w:val="53565A" w:themeColor="accent3"/>
          <w:sz w:val="20"/>
          <w:szCs w:val="20"/>
        </w:rPr>
      </w:pPr>
      <w:r w:rsidRPr="00260DAA">
        <w:rPr>
          <w:rFonts w:ascii="Arial" w:hAnsi="Arial" w:cs="Arial"/>
          <w:color w:val="53565A" w:themeColor="accent3"/>
          <w:sz w:val="20"/>
          <w:szCs w:val="20"/>
        </w:rPr>
        <w:t xml:space="preserve">a school or </w:t>
      </w:r>
      <w:r w:rsidR="008E3482" w:rsidRPr="00260DAA">
        <w:rPr>
          <w:rFonts w:ascii="Arial" w:hAnsi="Arial" w:cs="Arial"/>
          <w:color w:val="53565A" w:themeColor="accent3"/>
          <w:sz w:val="20"/>
          <w:szCs w:val="20"/>
        </w:rPr>
        <w:t xml:space="preserve">RTO </w:t>
      </w:r>
      <w:r w:rsidR="00BD5B5F" w:rsidRPr="00260DAA">
        <w:rPr>
          <w:rFonts w:ascii="Arial" w:hAnsi="Arial" w:cs="Arial"/>
          <w:color w:val="53565A" w:themeColor="accent3"/>
          <w:sz w:val="20"/>
          <w:szCs w:val="20"/>
        </w:rPr>
        <w:t xml:space="preserve">has demonstrated  </w:t>
      </w:r>
      <w:r w:rsidR="001C1764" w:rsidRPr="00260DAA">
        <w:rPr>
          <w:rFonts w:ascii="Arial" w:hAnsi="Arial" w:cs="Arial"/>
          <w:color w:val="53565A" w:themeColor="accent3"/>
          <w:sz w:val="20"/>
          <w:szCs w:val="20"/>
        </w:rPr>
        <w:t>significant</w:t>
      </w:r>
      <w:r w:rsidR="008E3482" w:rsidRPr="00260DAA">
        <w:rPr>
          <w:rFonts w:ascii="Arial" w:hAnsi="Arial" w:cs="Arial"/>
          <w:color w:val="53565A" w:themeColor="accent3"/>
          <w:sz w:val="20"/>
          <w:szCs w:val="20"/>
        </w:rPr>
        <w:t xml:space="preserve"> </w:t>
      </w:r>
      <w:r w:rsidR="00BD5B5F" w:rsidRPr="00260DAA">
        <w:rPr>
          <w:rFonts w:ascii="Arial" w:hAnsi="Arial" w:cs="Arial"/>
          <w:color w:val="53565A" w:themeColor="accent3"/>
          <w:sz w:val="20"/>
          <w:szCs w:val="20"/>
        </w:rPr>
        <w:t>non-compliance with a standard</w:t>
      </w:r>
      <w:r w:rsidR="008E3482" w:rsidRPr="00260DAA">
        <w:rPr>
          <w:rFonts w:ascii="Arial" w:hAnsi="Arial" w:cs="Arial"/>
          <w:color w:val="53565A" w:themeColor="accent3"/>
          <w:sz w:val="20"/>
          <w:szCs w:val="20"/>
        </w:rPr>
        <w:t xml:space="preserve"> but is </w:t>
      </w:r>
      <w:r w:rsidR="00C82E5F" w:rsidRPr="00260DAA">
        <w:rPr>
          <w:rFonts w:ascii="Arial" w:hAnsi="Arial" w:cs="Arial"/>
          <w:color w:val="53565A" w:themeColor="accent3"/>
          <w:sz w:val="20"/>
          <w:szCs w:val="20"/>
        </w:rPr>
        <w:t xml:space="preserve">genuinely </w:t>
      </w:r>
      <w:r w:rsidR="008E3482" w:rsidRPr="00260DAA">
        <w:rPr>
          <w:rFonts w:ascii="Arial" w:hAnsi="Arial" w:cs="Arial"/>
          <w:color w:val="53565A" w:themeColor="accent3"/>
          <w:sz w:val="20"/>
          <w:szCs w:val="20"/>
        </w:rPr>
        <w:t>prepared to admit a</w:t>
      </w:r>
      <w:r w:rsidR="00F42F1D" w:rsidRPr="00260DAA">
        <w:rPr>
          <w:rFonts w:ascii="Arial" w:hAnsi="Arial" w:cs="Arial"/>
          <w:color w:val="53565A" w:themeColor="accent3"/>
          <w:sz w:val="20"/>
          <w:szCs w:val="20"/>
        </w:rPr>
        <w:t xml:space="preserve">nd rectify </w:t>
      </w:r>
      <w:r w:rsidR="00C82E5F" w:rsidRPr="00260DAA">
        <w:rPr>
          <w:rFonts w:ascii="Arial" w:hAnsi="Arial" w:cs="Arial"/>
          <w:color w:val="53565A" w:themeColor="accent3"/>
          <w:sz w:val="20"/>
          <w:szCs w:val="20"/>
        </w:rPr>
        <w:t>the non-compliance to the VRQA’s satisfaction</w:t>
      </w:r>
    </w:p>
    <w:p w14:paraId="3CF64C7B" w14:textId="77777777" w:rsidR="008E3482" w:rsidRPr="00260DAA" w:rsidRDefault="00E471DD" w:rsidP="00260DAA">
      <w:pPr>
        <w:numPr>
          <w:ilvl w:val="0"/>
          <w:numId w:val="3"/>
        </w:numPr>
        <w:spacing w:before="120" w:after="240" w:line="240" w:lineRule="auto"/>
        <w:ind w:left="284" w:hanging="284"/>
        <w:rPr>
          <w:rFonts w:ascii="Arial" w:hAnsi="Arial" w:cs="Arial"/>
          <w:color w:val="53565A" w:themeColor="accent3"/>
          <w:sz w:val="20"/>
          <w:szCs w:val="20"/>
        </w:rPr>
      </w:pPr>
      <w:r w:rsidRPr="00260DAA">
        <w:rPr>
          <w:rFonts w:ascii="Arial" w:hAnsi="Arial" w:cs="Arial"/>
          <w:color w:val="53565A" w:themeColor="accent3"/>
          <w:sz w:val="20"/>
          <w:szCs w:val="20"/>
        </w:rPr>
        <w:t>t</w:t>
      </w:r>
      <w:r w:rsidR="008E3482" w:rsidRPr="00260DAA">
        <w:rPr>
          <w:rFonts w:ascii="Arial" w:hAnsi="Arial" w:cs="Arial"/>
          <w:color w:val="53565A" w:themeColor="accent3"/>
          <w:sz w:val="20"/>
          <w:szCs w:val="20"/>
        </w:rPr>
        <w:t xml:space="preserve">he </w:t>
      </w:r>
      <w:r w:rsidR="00D04465" w:rsidRPr="00260DAA">
        <w:rPr>
          <w:rFonts w:ascii="Arial" w:hAnsi="Arial" w:cs="Arial"/>
          <w:color w:val="53565A" w:themeColor="accent3"/>
          <w:sz w:val="20"/>
          <w:szCs w:val="20"/>
        </w:rPr>
        <w:t xml:space="preserve">VRQA seeks outcomes that may not necessarily be available through other sanctions open to the VRQA including </w:t>
      </w:r>
      <w:r w:rsidR="008F7766" w:rsidRPr="00260DAA">
        <w:rPr>
          <w:rFonts w:ascii="Arial" w:hAnsi="Arial" w:cs="Arial"/>
          <w:color w:val="53565A" w:themeColor="accent3"/>
          <w:sz w:val="20"/>
          <w:szCs w:val="20"/>
        </w:rPr>
        <w:t xml:space="preserve">through </w:t>
      </w:r>
      <w:r w:rsidR="00D04465" w:rsidRPr="00260DAA">
        <w:rPr>
          <w:rFonts w:ascii="Arial" w:hAnsi="Arial" w:cs="Arial"/>
          <w:color w:val="53565A" w:themeColor="accent3"/>
          <w:sz w:val="20"/>
          <w:szCs w:val="20"/>
        </w:rPr>
        <w:t>cancellation</w:t>
      </w:r>
      <w:r w:rsidR="00521F42" w:rsidRPr="00260DAA">
        <w:rPr>
          <w:rFonts w:ascii="Arial" w:hAnsi="Arial" w:cs="Arial"/>
          <w:color w:val="53565A" w:themeColor="accent3"/>
          <w:sz w:val="20"/>
          <w:szCs w:val="20"/>
        </w:rPr>
        <w:t xml:space="preserve"> or suspension</w:t>
      </w:r>
      <w:r w:rsidR="00D04465" w:rsidRPr="00260DAA">
        <w:rPr>
          <w:rFonts w:ascii="Arial" w:hAnsi="Arial" w:cs="Arial"/>
          <w:color w:val="53565A" w:themeColor="accent3"/>
          <w:sz w:val="20"/>
          <w:szCs w:val="20"/>
        </w:rPr>
        <w:t xml:space="preserve"> of registration</w:t>
      </w:r>
      <w:r w:rsidR="00521F42" w:rsidRPr="00260DAA">
        <w:rPr>
          <w:rFonts w:ascii="Arial" w:hAnsi="Arial" w:cs="Arial"/>
          <w:color w:val="53565A" w:themeColor="accent3"/>
          <w:sz w:val="20"/>
          <w:szCs w:val="20"/>
        </w:rPr>
        <w:t>, or through the imposition of conditions on registration.</w:t>
      </w:r>
    </w:p>
    <w:p w14:paraId="4FE0D29D" w14:textId="77777777" w:rsidR="00D04465" w:rsidRPr="00260DAA" w:rsidRDefault="005732D3" w:rsidP="006B4C97">
      <w:pPr>
        <w:spacing w:before="120" w:after="120" w:line="240" w:lineRule="auto"/>
        <w:rPr>
          <w:rFonts w:ascii="Arial" w:hAnsi="Arial" w:cs="Arial"/>
          <w:b/>
          <w:color w:val="103D64" w:themeColor="text2"/>
          <w:sz w:val="20"/>
          <w:szCs w:val="20"/>
        </w:rPr>
      </w:pPr>
      <w:r w:rsidRPr="00260DAA">
        <w:rPr>
          <w:rFonts w:ascii="Arial" w:hAnsi="Arial" w:cs="Arial"/>
          <w:b/>
          <w:color w:val="103D64" w:themeColor="text2"/>
          <w:sz w:val="20"/>
          <w:szCs w:val="20"/>
        </w:rPr>
        <w:t>What is the e</w:t>
      </w:r>
      <w:r w:rsidR="00D04465" w:rsidRPr="00260DAA">
        <w:rPr>
          <w:rFonts w:ascii="Arial" w:hAnsi="Arial" w:cs="Arial"/>
          <w:b/>
          <w:color w:val="103D64" w:themeColor="text2"/>
          <w:sz w:val="20"/>
          <w:szCs w:val="20"/>
        </w:rPr>
        <w:t>ffect of not complying with an enforceable undertaking?</w:t>
      </w:r>
    </w:p>
    <w:p w14:paraId="7EFCB942" w14:textId="77777777" w:rsidR="00C959F4" w:rsidRPr="00260DAA" w:rsidRDefault="00112D6D" w:rsidP="00260DAA">
      <w:pPr>
        <w:spacing w:before="120" w:after="240" w:line="240" w:lineRule="auto"/>
        <w:rPr>
          <w:rFonts w:ascii="Arial" w:hAnsi="Arial" w:cs="Arial"/>
          <w:color w:val="53565A" w:themeColor="accent3"/>
          <w:sz w:val="20"/>
          <w:szCs w:val="20"/>
        </w:rPr>
      </w:pPr>
      <w:r w:rsidRPr="00260DAA">
        <w:rPr>
          <w:rFonts w:ascii="Arial" w:hAnsi="Arial" w:cs="Arial"/>
          <w:color w:val="53565A" w:themeColor="accent3"/>
          <w:sz w:val="20"/>
          <w:szCs w:val="20"/>
        </w:rPr>
        <w:t xml:space="preserve">If the VRQA considers that there has been a breach of </w:t>
      </w:r>
      <w:r w:rsidR="00D04465" w:rsidRPr="00260DAA">
        <w:rPr>
          <w:rFonts w:ascii="Arial" w:hAnsi="Arial" w:cs="Arial"/>
          <w:color w:val="53565A" w:themeColor="accent3"/>
          <w:sz w:val="20"/>
          <w:szCs w:val="20"/>
        </w:rPr>
        <w:t>any</w:t>
      </w:r>
      <w:r w:rsidR="00C82E5F" w:rsidRPr="00260DAA">
        <w:rPr>
          <w:rFonts w:ascii="Arial" w:hAnsi="Arial" w:cs="Arial"/>
          <w:color w:val="53565A" w:themeColor="accent3"/>
          <w:sz w:val="20"/>
          <w:szCs w:val="20"/>
        </w:rPr>
        <w:t xml:space="preserve"> of the</w:t>
      </w:r>
      <w:r w:rsidR="00D04465" w:rsidRPr="00260DAA">
        <w:rPr>
          <w:rFonts w:ascii="Arial" w:hAnsi="Arial" w:cs="Arial"/>
          <w:color w:val="53565A" w:themeColor="accent3"/>
          <w:sz w:val="20"/>
          <w:szCs w:val="20"/>
        </w:rPr>
        <w:t xml:space="preserve"> terms of </w:t>
      </w:r>
      <w:r w:rsidRPr="00260DAA">
        <w:rPr>
          <w:rFonts w:ascii="Arial" w:hAnsi="Arial" w:cs="Arial"/>
          <w:color w:val="53565A" w:themeColor="accent3"/>
          <w:sz w:val="20"/>
          <w:szCs w:val="20"/>
        </w:rPr>
        <w:t>an</w:t>
      </w:r>
      <w:r w:rsidR="00D04465" w:rsidRPr="00260DAA">
        <w:rPr>
          <w:rFonts w:ascii="Arial" w:hAnsi="Arial" w:cs="Arial"/>
          <w:color w:val="53565A" w:themeColor="accent3"/>
          <w:sz w:val="20"/>
          <w:szCs w:val="20"/>
        </w:rPr>
        <w:t xml:space="preserve"> undertaking</w:t>
      </w:r>
      <w:r w:rsidRPr="00260DAA">
        <w:rPr>
          <w:rFonts w:ascii="Arial" w:hAnsi="Arial" w:cs="Arial"/>
          <w:color w:val="53565A" w:themeColor="accent3"/>
          <w:sz w:val="20"/>
          <w:szCs w:val="20"/>
        </w:rPr>
        <w:t>,</w:t>
      </w:r>
      <w:r w:rsidR="00D04465" w:rsidRPr="00260DAA">
        <w:rPr>
          <w:rFonts w:ascii="Arial" w:hAnsi="Arial" w:cs="Arial"/>
          <w:color w:val="53565A" w:themeColor="accent3"/>
          <w:sz w:val="20"/>
          <w:szCs w:val="20"/>
        </w:rPr>
        <w:t xml:space="preserve"> the VRQA has the power to apply to the Magistrates’ Court for an order that can</w:t>
      </w:r>
      <w:r w:rsidR="00C959F4" w:rsidRPr="00260DAA">
        <w:rPr>
          <w:rFonts w:ascii="Arial" w:hAnsi="Arial" w:cs="Arial"/>
          <w:color w:val="53565A" w:themeColor="accent3"/>
          <w:sz w:val="20"/>
          <w:szCs w:val="20"/>
        </w:rPr>
        <w:t>:</w:t>
      </w:r>
    </w:p>
    <w:p w14:paraId="405C0C37" w14:textId="77777777" w:rsidR="00C959F4" w:rsidRPr="00260DAA" w:rsidRDefault="00C959F4" w:rsidP="00262C8A">
      <w:pPr>
        <w:numPr>
          <w:ilvl w:val="0"/>
          <w:numId w:val="3"/>
        </w:numPr>
        <w:spacing w:before="120" w:after="120" w:line="240" w:lineRule="auto"/>
        <w:ind w:left="284" w:hanging="284"/>
        <w:rPr>
          <w:rFonts w:ascii="Arial" w:hAnsi="Arial" w:cs="Arial"/>
          <w:color w:val="53565A" w:themeColor="accent3"/>
          <w:sz w:val="20"/>
          <w:szCs w:val="20"/>
        </w:rPr>
      </w:pPr>
      <w:r w:rsidRPr="00260DAA">
        <w:rPr>
          <w:rFonts w:ascii="Arial" w:hAnsi="Arial" w:cs="Arial"/>
          <w:color w:val="53565A" w:themeColor="accent3"/>
          <w:sz w:val="20"/>
          <w:szCs w:val="20"/>
        </w:rPr>
        <w:t xml:space="preserve">direct </w:t>
      </w:r>
      <w:r w:rsidR="00285FC2" w:rsidRPr="00260DAA">
        <w:rPr>
          <w:rFonts w:ascii="Arial" w:hAnsi="Arial" w:cs="Arial"/>
          <w:color w:val="53565A" w:themeColor="accent3"/>
          <w:sz w:val="20"/>
          <w:szCs w:val="20"/>
        </w:rPr>
        <w:t xml:space="preserve">the </w:t>
      </w:r>
      <w:r w:rsidRPr="00260DAA">
        <w:rPr>
          <w:rFonts w:ascii="Arial" w:hAnsi="Arial" w:cs="Arial"/>
          <w:color w:val="53565A" w:themeColor="accent3"/>
          <w:sz w:val="20"/>
          <w:szCs w:val="20"/>
        </w:rPr>
        <w:t xml:space="preserve">RTO </w:t>
      </w:r>
      <w:r w:rsidR="00285FC2" w:rsidRPr="00260DAA">
        <w:rPr>
          <w:rFonts w:ascii="Arial" w:hAnsi="Arial" w:cs="Arial"/>
          <w:color w:val="53565A" w:themeColor="accent3"/>
          <w:sz w:val="20"/>
          <w:szCs w:val="20"/>
        </w:rPr>
        <w:t xml:space="preserve">or person on behalf of a school </w:t>
      </w:r>
      <w:r w:rsidR="00D04465" w:rsidRPr="00260DAA">
        <w:rPr>
          <w:rFonts w:ascii="Arial" w:hAnsi="Arial" w:cs="Arial"/>
          <w:color w:val="53565A" w:themeColor="accent3"/>
          <w:sz w:val="20"/>
          <w:szCs w:val="20"/>
        </w:rPr>
        <w:t>to comply</w:t>
      </w:r>
      <w:r w:rsidR="00F42F1D" w:rsidRPr="00260DAA">
        <w:rPr>
          <w:rFonts w:ascii="Arial" w:hAnsi="Arial" w:cs="Arial"/>
          <w:color w:val="53565A" w:themeColor="accent3"/>
          <w:sz w:val="20"/>
          <w:szCs w:val="20"/>
        </w:rPr>
        <w:t xml:space="preserve"> with the </w:t>
      </w:r>
      <w:r w:rsidR="00285FC2" w:rsidRPr="00260DAA">
        <w:rPr>
          <w:rFonts w:ascii="Arial" w:hAnsi="Arial" w:cs="Arial"/>
          <w:color w:val="53565A" w:themeColor="accent3"/>
          <w:sz w:val="20"/>
          <w:szCs w:val="20"/>
        </w:rPr>
        <w:t xml:space="preserve">term of the </w:t>
      </w:r>
      <w:r w:rsidR="00F42F1D" w:rsidRPr="00260DAA">
        <w:rPr>
          <w:rFonts w:ascii="Arial" w:hAnsi="Arial" w:cs="Arial"/>
          <w:color w:val="53565A" w:themeColor="accent3"/>
          <w:sz w:val="20"/>
          <w:szCs w:val="20"/>
        </w:rPr>
        <w:t>undertaking</w:t>
      </w:r>
    </w:p>
    <w:p w14:paraId="264D81E8" w14:textId="77777777" w:rsidR="00C959F4" w:rsidRPr="00E405E8" w:rsidRDefault="00C959F4" w:rsidP="00262C8A">
      <w:pPr>
        <w:numPr>
          <w:ilvl w:val="0"/>
          <w:numId w:val="3"/>
        </w:numPr>
        <w:spacing w:before="120" w:after="120" w:line="240" w:lineRule="auto"/>
        <w:ind w:left="284" w:hanging="284"/>
        <w:rPr>
          <w:rFonts w:ascii="Arial" w:hAnsi="Arial" w:cs="Arial"/>
          <w:color w:val="53565A" w:themeColor="accent3"/>
          <w:sz w:val="20"/>
          <w:szCs w:val="20"/>
        </w:rPr>
      </w:pPr>
      <w:r w:rsidRPr="00260DAA">
        <w:rPr>
          <w:rFonts w:ascii="Arial" w:hAnsi="Arial" w:cs="Arial"/>
          <w:color w:val="53565A" w:themeColor="accent3"/>
          <w:sz w:val="20"/>
          <w:szCs w:val="20"/>
        </w:rPr>
        <w:t xml:space="preserve">direct the RTO </w:t>
      </w:r>
      <w:r w:rsidR="00D04465" w:rsidRPr="00260DAA">
        <w:rPr>
          <w:rFonts w:ascii="Arial" w:hAnsi="Arial" w:cs="Arial"/>
          <w:color w:val="53565A" w:themeColor="accent3"/>
          <w:sz w:val="20"/>
          <w:szCs w:val="20"/>
        </w:rPr>
        <w:t>to pay to the State an amount up to the amount of any financial benefit that the RTO has obtained directly or indirectly through the breach</w:t>
      </w:r>
      <w:r w:rsidR="00E405E8">
        <w:rPr>
          <w:rFonts w:ascii="Arial" w:hAnsi="Arial" w:cs="Arial"/>
          <w:color w:val="53565A" w:themeColor="accent3"/>
          <w:sz w:val="20"/>
          <w:szCs w:val="20"/>
          <w:vertAlign w:val="superscript"/>
        </w:rPr>
        <w:t>.</w:t>
      </w:r>
    </w:p>
    <w:p w14:paraId="067D78A7" w14:textId="77777777" w:rsidR="00E405E8" w:rsidRPr="00444B75" w:rsidRDefault="00444B75" w:rsidP="00444B75">
      <w:pPr>
        <w:pStyle w:val="ListParagraph"/>
        <w:numPr>
          <w:ilvl w:val="0"/>
          <w:numId w:val="3"/>
        </w:numPr>
        <w:spacing w:before="120" w:after="120" w:line="240" w:lineRule="auto"/>
        <w:rPr>
          <w:rFonts w:ascii="Arial" w:hAnsi="Arial" w:cs="Arial"/>
          <w:color w:val="53565A" w:themeColor="accent3"/>
          <w:sz w:val="20"/>
          <w:szCs w:val="20"/>
        </w:rPr>
      </w:pPr>
      <w:r>
        <w:rPr>
          <w:rFonts w:ascii="Arial" w:hAnsi="Arial" w:cs="Arial"/>
          <w:color w:val="53565A" w:themeColor="accent3"/>
          <w:sz w:val="20"/>
          <w:szCs w:val="20"/>
        </w:rPr>
        <w:t>t</w:t>
      </w:r>
      <w:r w:rsidR="00E405E8" w:rsidRPr="00444B75">
        <w:rPr>
          <w:rFonts w:ascii="Arial" w:hAnsi="Arial" w:cs="Arial"/>
          <w:color w:val="53565A" w:themeColor="accent3"/>
          <w:sz w:val="20"/>
          <w:szCs w:val="20"/>
        </w:rPr>
        <w:t>his possible order is not specifically noted in the legislation for enforceable undertakings related to schools. However, the Magistrates’ Court could make such an order if it considers it appropriate to do s</w:t>
      </w:r>
      <w:r>
        <w:rPr>
          <w:rFonts w:ascii="Arial" w:hAnsi="Arial" w:cs="Arial"/>
          <w:color w:val="53565A" w:themeColor="accent3"/>
          <w:sz w:val="20"/>
          <w:szCs w:val="20"/>
        </w:rPr>
        <w:t>o under subsection 4.3.3D(2)(b)</w:t>
      </w:r>
    </w:p>
    <w:p w14:paraId="168A4A34" w14:textId="77777777" w:rsidR="00C959F4" w:rsidRPr="00260DAA" w:rsidRDefault="00C959F4" w:rsidP="00262C8A">
      <w:pPr>
        <w:numPr>
          <w:ilvl w:val="0"/>
          <w:numId w:val="3"/>
        </w:numPr>
        <w:spacing w:before="120" w:after="120" w:line="240" w:lineRule="auto"/>
        <w:ind w:left="284" w:hanging="284"/>
        <w:rPr>
          <w:rFonts w:ascii="Arial" w:hAnsi="Arial" w:cs="Arial"/>
          <w:color w:val="53565A" w:themeColor="accent3"/>
          <w:sz w:val="20"/>
          <w:szCs w:val="20"/>
        </w:rPr>
      </w:pPr>
      <w:r w:rsidRPr="00260DAA">
        <w:rPr>
          <w:rFonts w:ascii="Arial" w:hAnsi="Arial" w:cs="Arial"/>
          <w:color w:val="53565A" w:themeColor="accent3"/>
          <w:sz w:val="20"/>
          <w:szCs w:val="20"/>
        </w:rPr>
        <w:t xml:space="preserve">direct the RTO </w:t>
      </w:r>
      <w:r w:rsidR="00D04465" w:rsidRPr="00260DAA">
        <w:rPr>
          <w:rFonts w:ascii="Arial" w:hAnsi="Arial" w:cs="Arial"/>
          <w:color w:val="53565A" w:themeColor="accent3"/>
          <w:sz w:val="20"/>
          <w:szCs w:val="20"/>
        </w:rPr>
        <w:t>to compensate any other person who has suffered loss, injury or damage as a result of the breach</w:t>
      </w:r>
      <w:r w:rsidR="00E405E8">
        <w:rPr>
          <w:rFonts w:ascii="Arial" w:hAnsi="Arial" w:cs="Arial"/>
          <w:color w:val="53565A" w:themeColor="accent3"/>
          <w:sz w:val="20"/>
          <w:szCs w:val="20"/>
          <w:vertAlign w:val="superscript"/>
        </w:rPr>
        <w:t xml:space="preserve"> </w:t>
      </w:r>
      <w:r w:rsidR="00E405E8">
        <w:rPr>
          <w:rFonts w:ascii="Arial" w:hAnsi="Arial" w:cs="Arial"/>
          <w:color w:val="53565A" w:themeColor="accent3"/>
          <w:sz w:val="20"/>
          <w:szCs w:val="20"/>
        </w:rPr>
        <w:t xml:space="preserve">(as </w:t>
      </w:r>
      <w:r w:rsidR="009267F5" w:rsidRPr="00E405E8">
        <w:rPr>
          <w:rFonts w:ascii="Arial" w:hAnsi="Arial" w:cs="Arial"/>
          <w:color w:val="53565A" w:themeColor="accent3"/>
          <w:sz w:val="20"/>
          <w:szCs w:val="20"/>
        </w:rPr>
        <w:t>appropriate to do so under subsection 4.3.3D(2)(b)</w:t>
      </w:r>
      <w:r w:rsidR="00E405E8">
        <w:rPr>
          <w:rFonts w:ascii="Arial" w:hAnsi="Arial" w:cs="Arial"/>
          <w:color w:val="53565A" w:themeColor="accent3"/>
          <w:sz w:val="20"/>
          <w:szCs w:val="20"/>
        </w:rPr>
        <w:t>),</w:t>
      </w:r>
      <w:r w:rsidR="00D04465" w:rsidRPr="00260DAA">
        <w:rPr>
          <w:rFonts w:ascii="Arial" w:hAnsi="Arial" w:cs="Arial"/>
          <w:color w:val="53565A" w:themeColor="accent3"/>
          <w:sz w:val="20"/>
          <w:szCs w:val="20"/>
        </w:rPr>
        <w:t xml:space="preserve"> or </w:t>
      </w:r>
    </w:p>
    <w:p w14:paraId="524D74D2" w14:textId="77777777" w:rsidR="00D04465" w:rsidRPr="00260DAA" w:rsidRDefault="00C959F4" w:rsidP="00262C8A">
      <w:pPr>
        <w:numPr>
          <w:ilvl w:val="0"/>
          <w:numId w:val="3"/>
        </w:numPr>
        <w:spacing w:before="120" w:after="120" w:line="240" w:lineRule="auto"/>
        <w:ind w:left="284" w:hanging="284"/>
        <w:rPr>
          <w:rFonts w:ascii="Arial" w:hAnsi="Arial" w:cs="Arial"/>
          <w:color w:val="53565A" w:themeColor="accent3"/>
          <w:sz w:val="20"/>
          <w:szCs w:val="20"/>
        </w:rPr>
      </w:pPr>
      <w:r w:rsidRPr="00260DAA">
        <w:rPr>
          <w:rFonts w:ascii="Arial" w:hAnsi="Arial" w:cs="Arial"/>
          <w:color w:val="53565A" w:themeColor="accent3"/>
          <w:sz w:val="20"/>
          <w:szCs w:val="20"/>
        </w:rPr>
        <w:t xml:space="preserve">make </w:t>
      </w:r>
      <w:r w:rsidR="00D04465" w:rsidRPr="00260DAA">
        <w:rPr>
          <w:rFonts w:ascii="Arial" w:hAnsi="Arial" w:cs="Arial"/>
          <w:color w:val="53565A" w:themeColor="accent3"/>
          <w:sz w:val="20"/>
          <w:szCs w:val="20"/>
        </w:rPr>
        <w:t>any other order the Court considers appropriate.</w:t>
      </w:r>
    </w:p>
    <w:p w14:paraId="00878485" w14:textId="77777777" w:rsidR="00D04465" w:rsidRPr="00260DAA" w:rsidRDefault="00D04465" w:rsidP="00260DAA">
      <w:pPr>
        <w:spacing w:before="120" w:after="240" w:line="240" w:lineRule="auto"/>
        <w:rPr>
          <w:rFonts w:ascii="Arial" w:hAnsi="Arial" w:cs="Arial"/>
          <w:color w:val="53565A" w:themeColor="accent3"/>
          <w:sz w:val="20"/>
          <w:szCs w:val="20"/>
        </w:rPr>
      </w:pPr>
      <w:r w:rsidRPr="00260DAA">
        <w:rPr>
          <w:rFonts w:ascii="Arial" w:hAnsi="Arial" w:cs="Arial"/>
          <w:color w:val="53565A" w:themeColor="accent3"/>
          <w:sz w:val="20"/>
          <w:szCs w:val="20"/>
        </w:rPr>
        <w:t>The VRQA may also open a</w:t>
      </w:r>
      <w:r w:rsidR="001F77C5" w:rsidRPr="00260DAA">
        <w:rPr>
          <w:rFonts w:ascii="Arial" w:hAnsi="Arial" w:cs="Arial"/>
          <w:color w:val="53565A" w:themeColor="accent3"/>
          <w:sz w:val="20"/>
          <w:szCs w:val="20"/>
        </w:rPr>
        <w:t xml:space="preserve"> new review of a school or</w:t>
      </w:r>
      <w:r w:rsidRPr="00260DAA">
        <w:rPr>
          <w:rFonts w:ascii="Arial" w:hAnsi="Arial" w:cs="Arial"/>
          <w:color w:val="53565A" w:themeColor="accent3"/>
          <w:sz w:val="20"/>
          <w:szCs w:val="20"/>
        </w:rPr>
        <w:t xml:space="preserve"> new audit of an RTO should it feel that the enforceable undertaking has not been complied with and may seek to t</w:t>
      </w:r>
      <w:r w:rsidR="00B57C91" w:rsidRPr="00260DAA">
        <w:rPr>
          <w:rFonts w:ascii="Arial" w:hAnsi="Arial" w:cs="Arial"/>
          <w:color w:val="53565A" w:themeColor="accent3"/>
          <w:sz w:val="20"/>
          <w:szCs w:val="20"/>
        </w:rPr>
        <w:t>ake further action in respect of</w:t>
      </w:r>
      <w:r w:rsidRPr="00260DAA">
        <w:rPr>
          <w:rFonts w:ascii="Arial" w:hAnsi="Arial" w:cs="Arial"/>
          <w:color w:val="53565A" w:themeColor="accent3"/>
          <w:sz w:val="20"/>
          <w:szCs w:val="20"/>
        </w:rPr>
        <w:t xml:space="preserve"> the </w:t>
      </w:r>
      <w:r w:rsidR="00580EC6" w:rsidRPr="00260DAA">
        <w:rPr>
          <w:rFonts w:ascii="Arial" w:hAnsi="Arial" w:cs="Arial"/>
          <w:color w:val="53565A" w:themeColor="accent3"/>
          <w:sz w:val="20"/>
          <w:szCs w:val="20"/>
        </w:rPr>
        <w:t xml:space="preserve">school’s or </w:t>
      </w:r>
      <w:r w:rsidRPr="00260DAA">
        <w:rPr>
          <w:rFonts w:ascii="Arial" w:hAnsi="Arial" w:cs="Arial"/>
          <w:color w:val="53565A" w:themeColor="accent3"/>
          <w:sz w:val="20"/>
          <w:szCs w:val="20"/>
        </w:rPr>
        <w:t>RTO’s</w:t>
      </w:r>
      <w:r w:rsidR="00A75814" w:rsidRPr="00260DAA">
        <w:rPr>
          <w:rFonts w:ascii="Arial" w:hAnsi="Arial" w:cs="Arial"/>
          <w:color w:val="53565A" w:themeColor="accent3"/>
          <w:sz w:val="20"/>
          <w:szCs w:val="20"/>
        </w:rPr>
        <w:t xml:space="preserve"> </w:t>
      </w:r>
      <w:r w:rsidRPr="00260DAA">
        <w:rPr>
          <w:rFonts w:ascii="Arial" w:hAnsi="Arial" w:cs="Arial"/>
          <w:color w:val="53565A" w:themeColor="accent3"/>
          <w:sz w:val="20"/>
          <w:szCs w:val="20"/>
        </w:rPr>
        <w:t xml:space="preserve">registration. </w:t>
      </w:r>
    </w:p>
    <w:p w14:paraId="69F388D4" w14:textId="77777777" w:rsidR="00D04465" w:rsidRPr="00260DAA" w:rsidRDefault="00D04465" w:rsidP="007E5028">
      <w:pPr>
        <w:spacing w:before="120" w:after="120" w:line="240" w:lineRule="auto"/>
        <w:rPr>
          <w:rFonts w:ascii="Arial" w:hAnsi="Arial" w:cs="Arial"/>
          <w:b/>
          <w:color w:val="103D64" w:themeColor="text2"/>
          <w:sz w:val="20"/>
          <w:szCs w:val="20"/>
        </w:rPr>
      </w:pPr>
      <w:r w:rsidRPr="00260DAA">
        <w:rPr>
          <w:rFonts w:ascii="Arial" w:hAnsi="Arial" w:cs="Arial"/>
          <w:b/>
          <w:color w:val="103D64" w:themeColor="text2"/>
          <w:sz w:val="20"/>
          <w:szCs w:val="20"/>
        </w:rPr>
        <w:t xml:space="preserve">Lessons for </w:t>
      </w:r>
      <w:r w:rsidR="00A75814" w:rsidRPr="00260DAA">
        <w:rPr>
          <w:rFonts w:ascii="Arial" w:hAnsi="Arial" w:cs="Arial"/>
          <w:b/>
          <w:color w:val="103D64" w:themeColor="text2"/>
          <w:sz w:val="20"/>
          <w:szCs w:val="20"/>
        </w:rPr>
        <w:t xml:space="preserve">schools and </w:t>
      </w:r>
      <w:r w:rsidRPr="00260DAA">
        <w:rPr>
          <w:rFonts w:ascii="Arial" w:hAnsi="Arial" w:cs="Arial"/>
          <w:b/>
          <w:color w:val="103D64" w:themeColor="text2"/>
          <w:sz w:val="20"/>
          <w:szCs w:val="20"/>
        </w:rPr>
        <w:t>RTOs</w:t>
      </w:r>
    </w:p>
    <w:p w14:paraId="3ED514CB" w14:textId="77777777" w:rsidR="00E405E8" w:rsidRDefault="00D04465" w:rsidP="00260DAA">
      <w:pPr>
        <w:spacing w:before="120" w:after="240" w:line="240" w:lineRule="auto"/>
        <w:rPr>
          <w:rFonts w:ascii="Arial" w:hAnsi="Arial" w:cs="Arial"/>
          <w:color w:val="53565A" w:themeColor="accent3"/>
          <w:sz w:val="20"/>
          <w:szCs w:val="20"/>
        </w:rPr>
      </w:pPr>
      <w:r w:rsidRPr="00260DAA">
        <w:rPr>
          <w:rFonts w:ascii="Arial" w:hAnsi="Arial" w:cs="Arial"/>
          <w:color w:val="53565A" w:themeColor="accent3"/>
          <w:sz w:val="20"/>
          <w:szCs w:val="20"/>
        </w:rPr>
        <w:t xml:space="preserve">Where appropriate, agreeing to an enforceable undertaking can provide </w:t>
      </w:r>
      <w:r w:rsidR="00AE7DFC" w:rsidRPr="00260DAA">
        <w:rPr>
          <w:rFonts w:ascii="Arial" w:hAnsi="Arial" w:cs="Arial"/>
          <w:color w:val="53565A" w:themeColor="accent3"/>
          <w:sz w:val="20"/>
          <w:szCs w:val="20"/>
        </w:rPr>
        <w:t xml:space="preserve">a school or </w:t>
      </w:r>
      <w:r w:rsidRPr="00260DAA">
        <w:rPr>
          <w:rFonts w:ascii="Arial" w:hAnsi="Arial" w:cs="Arial"/>
          <w:color w:val="53565A" w:themeColor="accent3"/>
          <w:sz w:val="20"/>
          <w:szCs w:val="20"/>
        </w:rPr>
        <w:t>RTO</w:t>
      </w:r>
      <w:r w:rsidR="00A75814" w:rsidRPr="00260DAA">
        <w:rPr>
          <w:rFonts w:ascii="Arial" w:hAnsi="Arial" w:cs="Arial"/>
          <w:color w:val="53565A" w:themeColor="accent3"/>
          <w:sz w:val="20"/>
          <w:szCs w:val="20"/>
        </w:rPr>
        <w:t xml:space="preserve"> </w:t>
      </w:r>
      <w:r w:rsidRPr="00260DAA">
        <w:rPr>
          <w:rFonts w:ascii="Arial" w:hAnsi="Arial" w:cs="Arial"/>
          <w:color w:val="53565A" w:themeColor="accent3"/>
          <w:sz w:val="20"/>
          <w:szCs w:val="20"/>
        </w:rPr>
        <w:t>with an efficient and cost effective way of resolving contraventions to the Act. However</w:t>
      </w:r>
      <w:r w:rsidR="00A75814" w:rsidRPr="00260DAA">
        <w:rPr>
          <w:rFonts w:ascii="Arial" w:hAnsi="Arial" w:cs="Arial"/>
          <w:color w:val="53565A" w:themeColor="accent3"/>
          <w:sz w:val="20"/>
          <w:szCs w:val="20"/>
        </w:rPr>
        <w:t xml:space="preserve">, a school or </w:t>
      </w:r>
      <w:r w:rsidRPr="00260DAA">
        <w:rPr>
          <w:rFonts w:ascii="Arial" w:hAnsi="Arial" w:cs="Arial"/>
          <w:color w:val="53565A" w:themeColor="accent3"/>
          <w:sz w:val="20"/>
          <w:szCs w:val="20"/>
        </w:rPr>
        <w:t xml:space="preserve">RTO should </w:t>
      </w:r>
      <w:r w:rsidR="00A75814" w:rsidRPr="00260DAA">
        <w:rPr>
          <w:rFonts w:ascii="Arial" w:hAnsi="Arial" w:cs="Arial"/>
          <w:color w:val="53565A" w:themeColor="accent3"/>
          <w:sz w:val="20"/>
          <w:szCs w:val="20"/>
        </w:rPr>
        <w:t xml:space="preserve">consider </w:t>
      </w:r>
      <w:r w:rsidRPr="00260DAA">
        <w:rPr>
          <w:rFonts w:ascii="Arial" w:hAnsi="Arial" w:cs="Arial"/>
          <w:color w:val="53565A" w:themeColor="accent3"/>
          <w:sz w:val="20"/>
          <w:szCs w:val="20"/>
        </w:rPr>
        <w:t>obtain</w:t>
      </w:r>
      <w:r w:rsidR="00A75814" w:rsidRPr="00260DAA">
        <w:rPr>
          <w:rFonts w:ascii="Arial" w:hAnsi="Arial" w:cs="Arial"/>
          <w:color w:val="53565A" w:themeColor="accent3"/>
          <w:sz w:val="20"/>
          <w:szCs w:val="20"/>
        </w:rPr>
        <w:t>ing</w:t>
      </w:r>
      <w:r w:rsidRPr="00260DAA">
        <w:rPr>
          <w:rFonts w:ascii="Arial" w:hAnsi="Arial" w:cs="Arial"/>
          <w:color w:val="53565A" w:themeColor="accent3"/>
          <w:sz w:val="20"/>
          <w:szCs w:val="20"/>
        </w:rPr>
        <w:t xml:space="preserve"> </w:t>
      </w:r>
      <w:r w:rsidR="00A75814" w:rsidRPr="00260DAA">
        <w:rPr>
          <w:rFonts w:ascii="Arial" w:hAnsi="Arial" w:cs="Arial"/>
          <w:color w:val="53565A" w:themeColor="accent3"/>
          <w:sz w:val="20"/>
          <w:szCs w:val="20"/>
        </w:rPr>
        <w:t xml:space="preserve">independent </w:t>
      </w:r>
      <w:r w:rsidRPr="00260DAA">
        <w:rPr>
          <w:rFonts w:ascii="Arial" w:hAnsi="Arial" w:cs="Arial"/>
          <w:color w:val="53565A" w:themeColor="accent3"/>
          <w:sz w:val="20"/>
          <w:szCs w:val="20"/>
        </w:rPr>
        <w:t xml:space="preserve">legal advice before agreeing to an enforceable undertaking, to ensure that the undertaking does not create more problems for the </w:t>
      </w:r>
      <w:r w:rsidR="00A75814" w:rsidRPr="00260DAA">
        <w:rPr>
          <w:rFonts w:ascii="Arial" w:hAnsi="Arial" w:cs="Arial"/>
          <w:color w:val="53565A" w:themeColor="accent3"/>
          <w:sz w:val="20"/>
          <w:szCs w:val="20"/>
        </w:rPr>
        <w:t xml:space="preserve">school or </w:t>
      </w:r>
      <w:r w:rsidRPr="00260DAA">
        <w:rPr>
          <w:rFonts w:ascii="Arial" w:hAnsi="Arial" w:cs="Arial"/>
          <w:color w:val="53565A" w:themeColor="accent3"/>
          <w:sz w:val="20"/>
          <w:szCs w:val="20"/>
        </w:rPr>
        <w:t>RTO</w:t>
      </w:r>
      <w:r w:rsidR="00F42F1D" w:rsidRPr="00260DAA">
        <w:rPr>
          <w:rFonts w:ascii="Arial" w:hAnsi="Arial" w:cs="Arial"/>
          <w:color w:val="53565A" w:themeColor="accent3"/>
          <w:sz w:val="20"/>
          <w:szCs w:val="20"/>
        </w:rPr>
        <w:t xml:space="preserve"> than is sought to be resolved.</w:t>
      </w:r>
    </w:p>
    <w:p w14:paraId="0F8B84A5" w14:textId="77777777" w:rsidR="00E405E8" w:rsidRPr="00E405E8" w:rsidRDefault="00E405E8" w:rsidP="00E405E8">
      <w:pPr>
        <w:rPr>
          <w:rFonts w:ascii="Arial" w:hAnsi="Arial" w:cs="Arial"/>
          <w:sz w:val="20"/>
          <w:szCs w:val="20"/>
        </w:rPr>
      </w:pPr>
    </w:p>
    <w:p w14:paraId="766C59B2" w14:textId="77777777" w:rsidR="00E405E8" w:rsidRPr="00E405E8" w:rsidRDefault="00E405E8" w:rsidP="00E405E8">
      <w:pPr>
        <w:rPr>
          <w:rFonts w:ascii="Arial" w:hAnsi="Arial" w:cs="Arial"/>
          <w:sz w:val="20"/>
          <w:szCs w:val="20"/>
        </w:rPr>
      </w:pPr>
    </w:p>
    <w:p w14:paraId="35BA04DD" w14:textId="77777777" w:rsidR="00E405E8" w:rsidRPr="00E405E8" w:rsidRDefault="00E405E8" w:rsidP="00E405E8">
      <w:pPr>
        <w:rPr>
          <w:rFonts w:ascii="Arial" w:hAnsi="Arial" w:cs="Arial"/>
          <w:sz w:val="20"/>
          <w:szCs w:val="20"/>
        </w:rPr>
      </w:pPr>
    </w:p>
    <w:p w14:paraId="3C596E39" w14:textId="77777777" w:rsidR="00E405E8" w:rsidRPr="00E405E8" w:rsidRDefault="00E405E8" w:rsidP="00E405E8">
      <w:pPr>
        <w:rPr>
          <w:rFonts w:ascii="Arial" w:hAnsi="Arial" w:cs="Arial"/>
          <w:sz w:val="20"/>
          <w:szCs w:val="20"/>
        </w:rPr>
      </w:pPr>
    </w:p>
    <w:p w14:paraId="4DE655AD" w14:textId="77777777" w:rsidR="00E405E8" w:rsidRPr="00E405E8" w:rsidRDefault="00E405E8" w:rsidP="00E405E8">
      <w:pPr>
        <w:rPr>
          <w:rFonts w:ascii="Arial" w:hAnsi="Arial" w:cs="Arial"/>
          <w:sz w:val="20"/>
          <w:szCs w:val="20"/>
        </w:rPr>
      </w:pPr>
    </w:p>
    <w:p w14:paraId="1871A6F1" w14:textId="77777777" w:rsidR="00E405E8" w:rsidRPr="00E405E8" w:rsidRDefault="00E405E8" w:rsidP="00E405E8">
      <w:pPr>
        <w:rPr>
          <w:rFonts w:ascii="Arial" w:hAnsi="Arial" w:cs="Arial"/>
          <w:sz w:val="20"/>
          <w:szCs w:val="20"/>
        </w:rPr>
      </w:pPr>
    </w:p>
    <w:p w14:paraId="5B1E1DE7" w14:textId="77777777" w:rsidR="00E405E8" w:rsidRPr="00E405E8" w:rsidRDefault="00E405E8" w:rsidP="00E405E8">
      <w:pPr>
        <w:rPr>
          <w:rFonts w:ascii="Arial" w:hAnsi="Arial" w:cs="Arial"/>
          <w:sz w:val="20"/>
          <w:szCs w:val="20"/>
        </w:rPr>
      </w:pPr>
    </w:p>
    <w:p w14:paraId="2D6E0328" w14:textId="77777777" w:rsidR="00E405E8" w:rsidRPr="00E405E8" w:rsidRDefault="00E405E8" w:rsidP="00E405E8">
      <w:pPr>
        <w:rPr>
          <w:rFonts w:ascii="Arial" w:hAnsi="Arial" w:cs="Arial"/>
          <w:sz w:val="20"/>
          <w:szCs w:val="20"/>
        </w:rPr>
      </w:pPr>
    </w:p>
    <w:p w14:paraId="707BE002" w14:textId="77777777" w:rsidR="00E405E8" w:rsidRPr="00E405E8" w:rsidRDefault="00E405E8" w:rsidP="00E405E8">
      <w:pPr>
        <w:rPr>
          <w:rFonts w:ascii="Arial" w:hAnsi="Arial" w:cs="Arial"/>
          <w:sz w:val="20"/>
          <w:szCs w:val="20"/>
        </w:rPr>
      </w:pPr>
    </w:p>
    <w:p w14:paraId="5B4D9BB2" w14:textId="77777777" w:rsidR="00E405E8" w:rsidRPr="00E405E8" w:rsidRDefault="00E405E8" w:rsidP="00E405E8">
      <w:pPr>
        <w:rPr>
          <w:rFonts w:ascii="Arial" w:hAnsi="Arial" w:cs="Arial"/>
          <w:sz w:val="20"/>
          <w:szCs w:val="20"/>
        </w:rPr>
      </w:pPr>
    </w:p>
    <w:sectPr w:rsidR="00E405E8" w:rsidRPr="00E405E8" w:rsidSect="00260DAA">
      <w:headerReference w:type="default" r:id="rId17"/>
      <w:footerReference w:type="default" r:id="rId18"/>
      <w:footerReference w:type="first" r:id="rId19"/>
      <w:pgSz w:w="11906" w:h="16838"/>
      <w:pgMar w:top="1985" w:right="845" w:bottom="851" w:left="851"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2C9E" w14:textId="77777777" w:rsidR="004369DC" w:rsidRDefault="004369DC" w:rsidP="00E471DD">
      <w:pPr>
        <w:spacing w:after="0" w:line="240" w:lineRule="auto"/>
      </w:pPr>
      <w:r>
        <w:separator/>
      </w:r>
    </w:p>
  </w:endnote>
  <w:endnote w:type="continuationSeparator" w:id="0">
    <w:p w14:paraId="76F89C69" w14:textId="77777777" w:rsidR="004369DC" w:rsidRDefault="004369DC" w:rsidP="00E471DD">
      <w:pPr>
        <w:spacing w:after="0" w:line="240" w:lineRule="auto"/>
      </w:pPr>
      <w:r>
        <w:continuationSeparator/>
      </w:r>
    </w:p>
  </w:endnote>
  <w:endnote w:type="continuationNotice" w:id="1">
    <w:p w14:paraId="2B0577AA" w14:textId="77777777" w:rsidR="004369DC" w:rsidRDefault="004369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1069" w14:textId="0B514ABB" w:rsidR="00262C8A" w:rsidRPr="00262C8A" w:rsidRDefault="00262C8A" w:rsidP="00262C8A">
    <w:pPr>
      <w:pStyle w:val="Footer"/>
      <w:spacing w:after="0" w:line="240" w:lineRule="auto"/>
      <w:rPr>
        <w:rFonts w:ascii="Arial" w:hAnsi="Arial" w:cs="Arial"/>
        <w:color w:val="53565A" w:themeColor="accent3"/>
        <w:sz w:val="18"/>
      </w:rPr>
    </w:pPr>
    <w:r>
      <w:rPr>
        <w:rFonts w:ascii="Arial" w:hAnsi="Arial" w:cs="Arial"/>
        <w:color w:val="53565A" w:themeColor="accent3"/>
        <w:sz w:val="18"/>
      </w:rPr>
      <w:t>VRQA Enforceable Undertaking Policy – August 2015</w:t>
    </w:r>
    <w:r>
      <w:rPr>
        <w:rFonts w:ascii="Arial" w:hAnsi="Arial" w:cs="Arial"/>
        <w:color w:val="53565A" w:themeColor="accent3"/>
        <w:sz w:val="18"/>
      </w:rPr>
      <w:tab/>
    </w:r>
    <w:r>
      <w:rPr>
        <w:rFonts w:ascii="Arial" w:hAnsi="Arial" w:cs="Arial"/>
        <w:color w:val="53565A" w:themeColor="accent3"/>
        <w:sz w:val="18"/>
      </w:rPr>
      <w:tab/>
    </w:r>
    <w:r>
      <w:rPr>
        <w:rFonts w:ascii="Arial" w:hAnsi="Arial" w:cs="Arial"/>
        <w:color w:val="53565A" w:themeColor="accent3"/>
        <w:sz w:val="18"/>
      </w:rPr>
      <w:tab/>
    </w:r>
    <w:r w:rsidRPr="00262C8A">
      <w:rPr>
        <w:rFonts w:ascii="Arial" w:hAnsi="Arial" w:cs="Arial"/>
        <w:color w:val="53565A" w:themeColor="accent3"/>
        <w:sz w:val="18"/>
      </w:rPr>
      <w:fldChar w:fldCharType="begin"/>
    </w:r>
    <w:r w:rsidRPr="00262C8A">
      <w:rPr>
        <w:rFonts w:ascii="Arial" w:hAnsi="Arial" w:cs="Arial"/>
        <w:color w:val="53565A" w:themeColor="accent3"/>
        <w:sz w:val="18"/>
      </w:rPr>
      <w:instrText xml:space="preserve"> PAGE   \* MERGEFORMAT </w:instrText>
    </w:r>
    <w:r w:rsidRPr="00262C8A">
      <w:rPr>
        <w:rFonts w:ascii="Arial" w:hAnsi="Arial" w:cs="Arial"/>
        <w:color w:val="53565A" w:themeColor="accent3"/>
        <w:sz w:val="18"/>
      </w:rPr>
      <w:fldChar w:fldCharType="separate"/>
    </w:r>
    <w:r w:rsidR="00CC3F14">
      <w:rPr>
        <w:rFonts w:ascii="Arial" w:hAnsi="Arial" w:cs="Arial"/>
        <w:noProof/>
        <w:color w:val="53565A" w:themeColor="accent3"/>
        <w:sz w:val="18"/>
      </w:rPr>
      <w:t>2</w:t>
    </w:r>
    <w:r w:rsidRPr="00262C8A">
      <w:rPr>
        <w:rFonts w:ascii="Arial" w:hAnsi="Arial" w:cs="Arial"/>
        <w:noProof/>
        <w:color w:val="53565A" w:themeColor="accent3"/>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34A1" w14:textId="44ABF387" w:rsidR="00262C8A" w:rsidRPr="00262C8A" w:rsidRDefault="00262C8A" w:rsidP="00262C8A">
    <w:pPr>
      <w:pStyle w:val="Footer"/>
      <w:spacing w:after="0" w:line="240" w:lineRule="auto"/>
      <w:rPr>
        <w:rFonts w:ascii="Arial" w:hAnsi="Arial" w:cs="Arial"/>
        <w:color w:val="53565A" w:themeColor="accent3"/>
        <w:sz w:val="18"/>
      </w:rPr>
    </w:pPr>
    <w:r>
      <w:rPr>
        <w:rFonts w:ascii="Arial" w:hAnsi="Arial" w:cs="Arial"/>
        <w:color w:val="53565A" w:themeColor="accent3"/>
        <w:sz w:val="18"/>
      </w:rPr>
      <w:t>VRQA Enforceable Undertaking Policy – August 2015</w:t>
    </w:r>
    <w:r>
      <w:rPr>
        <w:rFonts w:ascii="Arial" w:hAnsi="Arial" w:cs="Arial"/>
        <w:color w:val="53565A" w:themeColor="accent3"/>
        <w:sz w:val="18"/>
      </w:rPr>
      <w:tab/>
    </w:r>
    <w:r>
      <w:rPr>
        <w:rFonts w:ascii="Arial" w:hAnsi="Arial" w:cs="Arial"/>
        <w:color w:val="53565A" w:themeColor="accent3"/>
        <w:sz w:val="18"/>
      </w:rPr>
      <w:tab/>
    </w:r>
    <w:r>
      <w:rPr>
        <w:rFonts w:ascii="Arial" w:hAnsi="Arial" w:cs="Arial"/>
        <w:color w:val="53565A" w:themeColor="accent3"/>
        <w:sz w:val="18"/>
      </w:rPr>
      <w:tab/>
    </w:r>
    <w:r w:rsidRPr="00262C8A">
      <w:rPr>
        <w:rFonts w:ascii="Arial" w:hAnsi="Arial" w:cs="Arial"/>
        <w:color w:val="53565A" w:themeColor="accent3"/>
        <w:sz w:val="18"/>
      </w:rPr>
      <w:fldChar w:fldCharType="begin"/>
    </w:r>
    <w:r w:rsidRPr="00262C8A">
      <w:rPr>
        <w:rFonts w:ascii="Arial" w:hAnsi="Arial" w:cs="Arial"/>
        <w:color w:val="53565A" w:themeColor="accent3"/>
        <w:sz w:val="18"/>
      </w:rPr>
      <w:instrText xml:space="preserve"> PAGE   \* MERGEFORMAT </w:instrText>
    </w:r>
    <w:r w:rsidRPr="00262C8A">
      <w:rPr>
        <w:rFonts w:ascii="Arial" w:hAnsi="Arial" w:cs="Arial"/>
        <w:color w:val="53565A" w:themeColor="accent3"/>
        <w:sz w:val="18"/>
      </w:rPr>
      <w:fldChar w:fldCharType="separate"/>
    </w:r>
    <w:r w:rsidR="00CC3F14">
      <w:rPr>
        <w:rFonts w:ascii="Arial" w:hAnsi="Arial" w:cs="Arial"/>
        <w:noProof/>
        <w:color w:val="53565A" w:themeColor="accent3"/>
        <w:sz w:val="18"/>
      </w:rPr>
      <w:t>1</w:t>
    </w:r>
    <w:r w:rsidRPr="00262C8A">
      <w:rPr>
        <w:rFonts w:ascii="Arial" w:hAnsi="Arial" w:cs="Arial"/>
        <w:noProof/>
        <w:color w:val="53565A" w:themeColor="accent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ECDD" w14:textId="77777777" w:rsidR="004369DC" w:rsidRDefault="004369DC" w:rsidP="00E471DD">
      <w:pPr>
        <w:spacing w:after="0" w:line="240" w:lineRule="auto"/>
      </w:pPr>
      <w:r>
        <w:separator/>
      </w:r>
    </w:p>
  </w:footnote>
  <w:footnote w:type="continuationSeparator" w:id="0">
    <w:p w14:paraId="4611B519" w14:textId="77777777" w:rsidR="004369DC" w:rsidRDefault="004369DC" w:rsidP="00E471DD">
      <w:pPr>
        <w:spacing w:after="0" w:line="240" w:lineRule="auto"/>
      </w:pPr>
      <w:r>
        <w:continuationSeparator/>
      </w:r>
    </w:p>
  </w:footnote>
  <w:footnote w:type="continuationNotice" w:id="1">
    <w:p w14:paraId="2A7ED2DD" w14:textId="77777777" w:rsidR="004369DC" w:rsidRDefault="004369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C6C2" w14:textId="77777777" w:rsidR="00E405E8" w:rsidRDefault="00E405E8">
    <w:pPr>
      <w:pStyle w:val="Header"/>
    </w:pPr>
    <w:r w:rsidRPr="00856727">
      <w:rPr>
        <w:rFonts w:cs="Arial"/>
        <w:b/>
        <w:noProof/>
        <w:sz w:val="19"/>
        <w:szCs w:val="19"/>
        <w:lang w:eastAsia="en-AU"/>
      </w:rPr>
      <w:drawing>
        <wp:anchor distT="0" distB="0" distL="114300" distR="114300" simplePos="0" relativeHeight="251659264" behindDoc="0" locked="0" layoutInCell="1" allowOverlap="1" wp14:anchorId="4BC20F2C" wp14:editId="6ECCF96D">
          <wp:simplePos x="0" y="0"/>
          <wp:positionH relativeFrom="column">
            <wp:posOffset>-297180</wp:posOffset>
          </wp:positionH>
          <wp:positionV relativeFrom="paragraph">
            <wp:posOffset>-221615</wp:posOffset>
          </wp:positionV>
          <wp:extent cx="7090410" cy="932180"/>
          <wp:effectExtent l="0" t="0" r="0" b="1270"/>
          <wp:wrapNone/>
          <wp:docPr id="3" name="Picture 3"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196D"/>
    <w:multiLevelType w:val="hybridMultilevel"/>
    <w:tmpl w:val="309E6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9604D2"/>
    <w:multiLevelType w:val="hybridMultilevel"/>
    <w:tmpl w:val="23748350"/>
    <w:lvl w:ilvl="0" w:tplc="CD444DFE">
      <w:start w:val="1"/>
      <w:numFmt w:val="bullet"/>
      <w:lvlText w:val=""/>
      <w:lvlJc w:val="left"/>
      <w:pPr>
        <w:ind w:left="765" w:hanging="360"/>
      </w:pPr>
      <w:rPr>
        <w:rFonts w:ascii="Symbol" w:hAnsi="Symbol" w:hint="default"/>
        <w:sz w:val="14"/>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42AD2753"/>
    <w:multiLevelType w:val="hybridMultilevel"/>
    <w:tmpl w:val="2018935C"/>
    <w:lvl w:ilvl="0" w:tplc="D07CBAF8">
      <w:start w:val="1"/>
      <w:numFmt w:val="bullet"/>
      <w:lvlText w:val=""/>
      <w:lvlJc w:val="left"/>
      <w:pPr>
        <w:ind w:left="1287" w:hanging="360"/>
      </w:pPr>
      <w:rPr>
        <w:rFonts w:ascii="Symbol" w:hAnsi="Symbol" w:hint="default"/>
        <w:sz w:val="14"/>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18112E2"/>
    <w:multiLevelType w:val="hybridMultilevel"/>
    <w:tmpl w:val="5A840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2481020">
    <w:abstractNumId w:val="3"/>
  </w:num>
  <w:num w:numId="2" w16cid:durableId="49889188">
    <w:abstractNumId w:val="0"/>
  </w:num>
  <w:num w:numId="3" w16cid:durableId="334764727">
    <w:abstractNumId w:val="1"/>
  </w:num>
  <w:num w:numId="4" w16cid:durableId="2036694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CC"/>
    <w:rsid w:val="000378F4"/>
    <w:rsid w:val="0005758A"/>
    <w:rsid w:val="000724E8"/>
    <w:rsid w:val="000A5159"/>
    <w:rsid w:val="000F42BB"/>
    <w:rsid w:val="00112D6D"/>
    <w:rsid w:val="001409A2"/>
    <w:rsid w:val="001C0C4E"/>
    <w:rsid w:val="001C1764"/>
    <w:rsid w:val="001F73CC"/>
    <w:rsid w:val="001F77C5"/>
    <w:rsid w:val="002051CC"/>
    <w:rsid w:val="00256D78"/>
    <w:rsid w:val="00260DAA"/>
    <w:rsid w:val="00262C8A"/>
    <w:rsid w:val="002633F7"/>
    <w:rsid w:val="00277980"/>
    <w:rsid w:val="00285FC2"/>
    <w:rsid w:val="002E61A1"/>
    <w:rsid w:val="00321F5F"/>
    <w:rsid w:val="003234D0"/>
    <w:rsid w:val="0033627A"/>
    <w:rsid w:val="003432E2"/>
    <w:rsid w:val="003478C1"/>
    <w:rsid w:val="0036689C"/>
    <w:rsid w:val="00397396"/>
    <w:rsid w:val="003E0112"/>
    <w:rsid w:val="003F6F9C"/>
    <w:rsid w:val="00415CFE"/>
    <w:rsid w:val="004369DC"/>
    <w:rsid w:val="00444B75"/>
    <w:rsid w:val="004665B5"/>
    <w:rsid w:val="0047724B"/>
    <w:rsid w:val="004B73AB"/>
    <w:rsid w:val="004B74AD"/>
    <w:rsid w:val="004C219B"/>
    <w:rsid w:val="004C4BFA"/>
    <w:rsid w:val="004D4656"/>
    <w:rsid w:val="00513237"/>
    <w:rsid w:val="0051604C"/>
    <w:rsid w:val="00521F42"/>
    <w:rsid w:val="0053711A"/>
    <w:rsid w:val="00547A41"/>
    <w:rsid w:val="005732D3"/>
    <w:rsid w:val="00580EC6"/>
    <w:rsid w:val="00592880"/>
    <w:rsid w:val="005C3411"/>
    <w:rsid w:val="005E37A2"/>
    <w:rsid w:val="005F3486"/>
    <w:rsid w:val="006021CD"/>
    <w:rsid w:val="006036A4"/>
    <w:rsid w:val="00621359"/>
    <w:rsid w:val="00635EBC"/>
    <w:rsid w:val="0065665B"/>
    <w:rsid w:val="006952C7"/>
    <w:rsid w:val="006B3836"/>
    <w:rsid w:val="006B4C97"/>
    <w:rsid w:val="007051B3"/>
    <w:rsid w:val="007344B6"/>
    <w:rsid w:val="00772A0B"/>
    <w:rsid w:val="007853E2"/>
    <w:rsid w:val="007C3194"/>
    <w:rsid w:val="007E11D8"/>
    <w:rsid w:val="007E5028"/>
    <w:rsid w:val="00831010"/>
    <w:rsid w:val="00833FAF"/>
    <w:rsid w:val="00835CD1"/>
    <w:rsid w:val="00850DFF"/>
    <w:rsid w:val="00861DAE"/>
    <w:rsid w:val="008664F8"/>
    <w:rsid w:val="0087029E"/>
    <w:rsid w:val="00880986"/>
    <w:rsid w:val="0088686D"/>
    <w:rsid w:val="008C006B"/>
    <w:rsid w:val="008C385B"/>
    <w:rsid w:val="008E3482"/>
    <w:rsid w:val="008F7766"/>
    <w:rsid w:val="009267F5"/>
    <w:rsid w:val="00A0764A"/>
    <w:rsid w:val="00A32F3E"/>
    <w:rsid w:val="00A331D2"/>
    <w:rsid w:val="00A42FB8"/>
    <w:rsid w:val="00A75814"/>
    <w:rsid w:val="00AB6998"/>
    <w:rsid w:val="00AD68C3"/>
    <w:rsid w:val="00AE7DFC"/>
    <w:rsid w:val="00AF4877"/>
    <w:rsid w:val="00B166C3"/>
    <w:rsid w:val="00B27FD9"/>
    <w:rsid w:val="00B4311E"/>
    <w:rsid w:val="00B57C91"/>
    <w:rsid w:val="00B9053D"/>
    <w:rsid w:val="00BD5B5F"/>
    <w:rsid w:val="00BF155C"/>
    <w:rsid w:val="00C359E1"/>
    <w:rsid w:val="00C82E5F"/>
    <w:rsid w:val="00C86F89"/>
    <w:rsid w:val="00C959F4"/>
    <w:rsid w:val="00CA0302"/>
    <w:rsid w:val="00CC0143"/>
    <w:rsid w:val="00CC3F14"/>
    <w:rsid w:val="00CD0F37"/>
    <w:rsid w:val="00CF55D3"/>
    <w:rsid w:val="00D04465"/>
    <w:rsid w:val="00D168A3"/>
    <w:rsid w:val="00D446BC"/>
    <w:rsid w:val="00D47D2A"/>
    <w:rsid w:val="00D60B4F"/>
    <w:rsid w:val="00D6395C"/>
    <w:rsid w:val="00D74B5B"/>
    <w:rsid w:val="00D87966"/>
    <w:rsid w:val="00E0729F"/>
    <w:rsid w:val="00E1102F"/>
    <w:rsid w:val="00E1261D"/>
    <w:rsid w:val="00E172BA"/>
    <w:rsid w:val="00E21EE5"/>
    <w:rsid w:val="00E405E8"/>
    <w:rsid w:val="00E471DD"/>
    <w:rsid w:val="00E65B85"/>
    <w:rsid w:val="00E776A8"/>
    <w:rsid w:val="00E80894"/>
    <w:rsid w:val="00E87E7F"/>
    <w:rsid w:val="00F006F7"/>
    <w:rsid w:val="00F15C8F"/>
    <w:rsid w:val="00F331F9"/>
    <w:rsid w:val="00F41A7C"/>
    <w:rsid w:val="00F42F1D"/>
    <w:rsid w:val="00F51F3D"/>
    <w:rsid w:val="00F659F7"/>
    <w:rsid w:val="00F73C0B"/>
    <w:rsid w:val="00FA356C"/>
    <w:rsid w:val="00FB3FF3"/>
    <w:rsid w:val="00FC0A77"/>
    <w:rsid w:val="00FE60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99F5D0"/>
  <w15:docId w15:val="{DF44293F-2C67-43A8-B4C2-BCFEDB28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qFormat/>
    <w:rsid w:val="002051CC"/>
    <w:pPr>
      <w:keepNext/>
      <w:pBdr>
        <w:top w:val="single" w:sz="4" w:space="1" w:color="auto"/>
        <w:left w:val="single" w:sz="4" w:space="4" w:color="auto"/>
        <w:bottom w:val="single" w:sz="4" w:space="1" w:color="auto"/>
        <w:right w:val="single" w:sz="4" w:space="4" w:color="auto"/>
      </w:pBdr>
      <w:shd w:val="pct10" w:color="auto" w:fill="auto"/>
      <w:spacing w:after="0" w:line="240" w:lineRule="auto"/>
      <w:ind w:left="113"/>
      <w:jc w:val="center"/>
      <w:outlineLvl w:val="2"/>
    </w:pPr>
    <w:rPr>
      <w:rFonts w:ascii="Times New Roman" w:eastAsia="Times New Roman" w:hAnsi="Times New Roman"/>
      <w:b/>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051CC"/>
    <w:rPr>
      <w:rFonts w:ascii="Times New Roman" w:eastAsia="Times New Roman" w:hAnsi="Times New Roman"/>
      <w:b/>
      <w:sz w:val="28"/>
      <w:szCs w:val="18"/>
      <w:shd w:val="pct10" w:color="auto" w:fill="auto"/>
      <w:lang w:eastAsia="en-US"/>
    </w:rPr>
  </w:style>
  <w:style w:type="paragraph" w:styleId="Header">
    <w:name w:val="header"/>
    <w:basedOn w:val="Normal"/>
    <w:link w:val="HeaderChar"/>
    <w:uiPriority w:val="99"/>
    <w:unhideWhenUsed/>
    <w:rsid w:val="00E471DD"/>
    <w:pPr>
      <w:tabs>
        <w:tab w:val="center" w:pos="4513"/>
        <w:tab w:val="right" w:pos="9026"/>
      </w:tabs>
    </w:pPr>
  </w:style>
  <w:style w:type="character" w:customStyle="1" w:styleId="HeaderChar">
    <w:name w:val="Header Char"/>
    <w:link w:val="Header"/>
    <w:uiPriority w:val="99"/>
    <w:rsid w:val="00E471DD"/>
    <w:rPr>
      <w:sz w:val="22"/>
      <w:szCs w:val="22"/>
      <w:lang w:eastAsia="en-US"/>
    </w:rPr>
  </w:style>
  <w:style w:type="paragraph" w:styleId="Footer">
    <w:name w:val="footer"/>
    <w:basedOn w:val="Normal"/>
    <w:link w:val="FooterChar"/>
    <w:unhideWhenUsed/>
    <w:rsid w:val="00E471DD"/>
    <w:pPr>
      <w:tabs>
        <w:tab w:val="center" w:pos="4513"/>
        <w:tab w:val="right" w:pos="9026"/>
      </w:tabs>
    </w:pPr>
  </w:style>
  <w:style w:type="character" w:customStyle="1" w:styleId="FooterChar">
    <w:name w:val="Footer Char"/>
    <w:link w:val="Footer"/>
    <w:uiPriority w:val="99"/>
    <w:rsid w:val="00E471DD"/>
    <w:rPr>
      <w:sz w:val="22"/>
      <w:szCs w:val="22"/>
      <w:lang w:eastAsia="en-US"/>
    </w:rPr>
  </w:style>
  <w:style w:type="paragraph" w:styleId="BalloonText">
    <w:name w:val="Balloon Text"/>
    <w:basedOn w:val="Normal"/>
    <w:link w:val="BalloonTextChar"/>
    <w:uiPriority w:val="99"/>
    <w:semiHidden/>
    <w:unhideWhenUsed/>
    <w:rsid w:val="00E65B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5B85"/>
    <w:rPr>
      <w:rFonts w:ascii="Tahoma" w:hAnsi="Tahoma" w:cs="Tahoma"/>
      <w:sz w:val="16"/>
      <w:szCs w:val="16"/>
      <w:lang w:eastAsia="en-US"/>
    </w:rPr>
  </w:style>
  <w:style w:type="paragraph" w:styleId="FootnoteText">
    <w:name w:val="footnote text"/>
    <w:basedOn w:val="Normal"/>
    <w:link w:val="FootnoteTextChar"/>
    <w:uiPriority w:val="99"/>
    <w:semiHidden/>
    <w:unhideWhenUsed/>
    <w:rsid w:val="00A32F3E"/>
    <w:rPr>
      <w:sz w:val="20"/>
      <w:szCs w:val="20"/>
    </w:rPr>
  </w:style>
  <w:style w:type="character" w:customStyle="1" w:styleId="FootnoteTextChar">
    <w:name w:val="Footnote Text Char"/>
    <w:link w:val="FootnoteText"/>
    <w:uiPriority w:val="99"/>
    <w:semiHidden/>
    <w:rsid w:val="00A32F3E"/>
    <w:rPr>
      <w:lang w:eastAsia="en-US"/>
    </w:rPr>
  </w:style>
  <w:style w:type="character" w:styleId="FootnoteReference">
    <w:name w:val="footnote reference"/>
    <w:uiPriority w:val="99"/>
    <w:semiHidden/>
    <w:unhideWhenUsed/>
    <w:rsid w:val="00A32F3E"/>
    <w:rPr>
      <w:vertAlign w:val="superscript"/>
    </w:rPr>
  </w:style>
  <w:style w:type="character" w:styleId="PageNumber">
    <w:name w:val="page number"/>
    <w:basedOn w:val="DefaultParagraphFont"/>
    <w:rsid w:val="00277980"/>
  </w:style>
  <w:style w:type="paragraph" w:styleId="ListParagraph">
    <w:name w:val="List Paragraph"/>
    <w:basedOn w:val="Normal"/>
    <w:uiPriority w:val="34"/>
    <w:qFormat/>
    <w:rsid w:val="00260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VRQA 2017">
  <a:themeElements>
    <a:clrScheme name="VRQA 2017">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01BF2-D630-452E-9DD4-D33CA797961E}">
  <ds:schemaRefs>
    <ds:schemaRef ds:uri="http://schemas.microsoft.com/office/2006/metadata/longProperties"/>
  </ds:schemaRefs>
</ds:datastoreItem>
</file>

<file path=customXml/itemProps2.xml><?xml version="1.0" encoding="utf-8"?>
<ds:datastoreItem xmlns:ds="http://schemas.openxmlformats.org/officeDocument/2006/customXml" ds:itemID="{D7D00DB0-8BC1-4DFD-AD49-2BDBD8257D39}">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customXml/itemProps3.xml><?xml version="1.0" encoding="utf-8"?>
<ds:datastoreItem xmlns:ds="http://schemas.openxmlformats.org/officeDocument/2006/customXml" ds:itemID="{47EF6CDC-B7C0-4AE1-9B75-95A5D112F475}">
  <ds:schemaRefs>
    <ds:schemaRef ds:uri="http://schemas.microsoft.com/sharepoint/v3/contenttype/forms"/>
  </ds:schemaRefs>
</ds:datastoreItem>
</file>

<file path=customXml/itemProps4.xml><?xml version="1.0" encoding="utf-8"?>
<ds:datastoreItem xmlns:ds="http://schemas.openxmlformats.org/officeDocument/2006/customXml" ds:itemID="{1842611D-5600-4700-92AA-EE24D922677E}">
  <ds:schemaRefs>
    <ds:schemaRef ds:uri="http://schemas.openxmlformats.org/officeDocument/2006/bibliography"/>
  </ds:schemaRefs>
</ds:datastoreItem>
</file>

<file path=customXml/itemProps5.xml><?xml version="1.0" encoding="utf-8"?>
<ds:datastoreItem xmlns:ds="http://schemas.openxmlformats.org/officeDocument/2006/customXml" ds:itemID="{5416EB08-C022-43B1-9314-D5F06A24D5AA}">
  <ds:schemaRefs>
    <ds:schemaRef ds:uri="http://schemas.openxmlformats.org/officeDocument/2006/bibliography"/>
  </ds:schemaRefs>
</ds:datastoreItem>
</file>

<file path=customXml/itemProps6.xml><?xml version="1.0" encoding="utf-8"?>
<ds:datastoreItem xmlns:ds="http://schemas.openxmlformats.org/officeDocument/2006/customXml" ds:itemID="{9EA13B70-55B2-4873-A319-C83521620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Enforceable Undertaking Policy</vt:lpstr>
    </vt:vector>
  </TitlesOfParts>
  <Company>DEECD</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Policy</dc:title>
  <dc:creator>Victorian Registration and Qualifications Authority</dc:creator>
  <cp:keywords>Enforceable, Undertaking, Policy, VRQA</cp:keywords>
  <cp:lastModifiedBy>Justin Mead</cp:lastModifiedBy>
  <cp:revision>2</cp:revision>
  <cp:lastPrinted>2015-08-14T02:03:00Z</cp:lastPrinted>
  <dcterms:created xsi:type="dcterms:W3CDTF">2024-03-14T23:38:00Z</dcterms:created>
  <dcterms:modified xsi:type="dcterms:W3CDTF">2024-03-14T23:38:00Z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bb8b9a280a423a91cf717fb81349cd">
    <vt:lpwstr>VRQA|8ecb8a11-c424-4b73-ad34-eadad919d3e3</vt:lpwstr>
  </property>
  <property fmtid="{D5CDD505-2E9C-101B-9397-08002B2CF9AE}" pid="3" name="TaxCatchAll">
    <vt:lpwstr>19;#VRQA|8ecb8a11-c424-4b73-ad34-eadad919d3e3;#15;#Page|eb523acf-a821-456c-a76b-7607578309d7</vt:lpwstr>
  </property>
  <property fmtid="{D5CDD505-2E9C-101B-9397-08002B2CF9AE}" pid="4" name="a319977fc8504e09982f090ae1d7c602">
    <vt:lpwstr>Page|eb523acf-a821-456c-a76b-7607578309d7</vt:lpwstr>
  </property>
  <property fmtid="{D5CDD505-2E9C-101B-9397-08002B2CF9AE}" pid="5" name="DEECD_Author">
    <vt:lpwstr>19;#VRQA|8ecb8a11-c424-4b73-ad34-eadad919d3e3</vt:lpwstr>
  </property>
  <property fmtid="{D5CDD505-2E9C-101B-9397-08002B2CF9AE}" pid="6" name="DEECD_Expired">
    <vt:lpwstr>0</vt:lpwstr>
  </property>
  <property fmtid="{D5CDD505-2E9C-101B-9397-08002B2CF9AE}" pid="7" name="pfad5814e62747ed9f131defefc62dac">
    <vt:lpwstr/>
  </property>
  <property fmtid="{D5CDD505-2E9C-101B-9397-08002B2CF9AE}" pid="8" name="DEECD_SubjectCategory">
    <vt:lpwstr/>
  </property>
  <property fmtid="{D5CDD505-2E9C-101B-9397-08002B2CF9AE}" pid="9" name="DEECD_Publisher">
    <vt:lpwstr>Department of Education and early Childhood Development</vt:lpwstr>
  </property>
  <property fmtid="{D5CDD505-2E9C-101B-9397-08002B2CF9AE}" pid="10" name="DEECD_Keywords">
    <vt:lpwstr/>
  </property>
  <property fmtid="{D5CDD505-2E9C-101B-9397-08002B2CF9AE}" pid="11" name="DEECD_Audience">
    <vt:lpwstr/>
  </property>
  <property fmtid="{D5CDD505-2E9C-101B-9397-08002B2CF9AE}" pid="12" name="DEECD_Description">
    <vt:lpwstr/>
  </property>
  <property fmtid="{D5CDD505-2E9C-101B-9397-08002B2CF9AE}" pid="13" name="DEECD_ItemType">
    <vt:lpwstr>15;#Page|eb523acf-a821-456c-a76b-7607578309d7</vt:lpwstr>
  </property>
  <property fmtid="{D5CDD505-2E9C-101B-9397-08002B2CF9AE}" pid="14" name="b1688cb4a3a940449dc8286705012a42">
    <vt:lpwstr/>
  </property>
  <property fmtid="{D5CDD505-2E9C-101B-9397-08002B2CF9AE}" pid="15" name="PublishingContact">
    <vt:lpwstr/>
  </property>
  <property fmtid="{D5CDD505-2E9C-101B-9397-08002B2CF9AE}" pid="16" name="PublishingPageContent">
    <vt:lpwstr/>
  </property>
  <property fmtid="{D5CDD505-2E9C-101B-9397-08002B2CF9AE}" pid="17" name="PageOrder">
    <vt:lpwstr/>
  </property>
  <property fmtid="{D5CDD505-2E9C-101B-9397-08002B2CF9AE}" pid="18" name="display_urn:schemas-microsoft-com:office:office#Editor">
    <vt:lpwstr>System Account</vt:lpwstr>
  </property>
  <property fmtid="{D5CDD505-2E9C-101B-9397-08002B2CF9AE}" pid="19" name="Order">
    <vt:lpwstr>41500.0000000000</vt:lpwstr>
  </property>
  <property fmtid="{D5CDD505-2E9C-101B-9397-08002B2CF9AE}" pid="20" name="PublishingRollupImage">
    <vt:lpwstr/>
  </property>
  <property fmtid="{D5CDD505-2E9C-101B-9397-08002B2CF9AE}" pid="21" name="TemplateUrl">
    <vt:lpwstr/>
  </property>
  <property fmtid="{D5CDD505-2E9C-101B-9397-08002B2CF9AE}" pid="22" name="Audience">
    <vt:lpwstr/>
  </property>
  <property fmtid="{D5CDD505-2E9C-101B-9397-08002B2CF9AE}" pid="23" name="Object ID">
    <vt:lpwstr/>
  </property>
  <property fmtid="{D5CDD505-2E9C-101B-9397-08002B2CF9AE}" pid="24" name="PublishingContactEmail">
    <vt:lpwstr/>
  </property>
  <property fmtid="{D5CDD505-2E9C-101B-9397-08002B2CF9AE}" pid="25" name="Comments">
    <vt:lpwstr/>
  </property>
  <property fmtid="{D5CDD505-2E9C-101B-9397-08002B2CF9AE}" pid="26" name="PublishingPageLayout">
    <vt:lpwstr/>
  </property>
  <property fmtid="{D5CDD505-2E9C-101B-9397-08002B2CF9AE}" pid="27" name="NavigationRootUrl">
    <vt:lpwstr/>
  </property>
  <property fmtid="{D5CDD505-2E9C-101B-9397-08002B2CF9AE}" pid="28" name="IsVisibleOnLeftNavigation">
    <vt:lpwstr/>
  </property>
  <property fmtid="{D5CDD505-2E9C-101B-9397-08002B2CF9AE}" pid="29" name="xd_Signature">
    <vt:lpwstr/>
  </property>
  <property fmtid="{D5CDD505-2E9C-101B-9397-08002B2CF9AE}" pid="30" name="xd_ProgID">
    <vt:lpwstr/>
  </property>
  <property fmtid="{D5CDD505-2E9C-101B-9397-08002B2CF9AE}" pid="31" name="PublishingStartDate">
    <vt:lpwstr/>
  </property>
  <property fmtid="{D5CDD505-2E9C-101B-9397-08002B2CF9AE}" pid="32" name="PublishingExpirationDate">
    <vt:lpwstr/>
  </property>
  <property fmtid="{D5CDD505-2E9C-101B-9397-08002B2CF9AE}" pid="33" name="PublishingContactPicture">
    <vt:lpwstr/>
  </property>
  <property fmtid="{D5CDD505-2E9C-101B-9397-08002B2CF9AE}" pid="34" name="PublishingVariationGroupID">
    <vt:lpwstr/>
  </property>
  <property fmtid="{D5CDD505-2E9C-101B-9397-08002B2CF9AE}" pid="35" name="IsChild">
    <vt:lpwstr/>
  </property>
  <property fmtid="{D5CDD505-2E9C-101B-9397-08002B2CF9AE}" pid="36" name="display_urn:schemas-microsoft-com:office:office#Author">
    <vt:lpwstr>System Account</vt:lpwstr>
  </property>
  <property fmtid="{D5CDD505-2E9C-101B-9397-08002B2CF9AE}" pid="37" name="ParentPageURL">
    <vt:lpwstr/>
  </property>
  <property fmtid="{D5CDD505-2E9C-101B-9397-08002B2CF9AE}" pid="38" name="PublishingContactName">
    <vt:lpwstr/>
  </property>
  <property fmtid="{D5CDD505-2E9C-101B-9397-08002B2CF9AE}" pid="39" name="PublishingVariationRelationshipLinkFieldID">
    <vt:lpwstr/>
  </property>
  <property fmtid="{D5CDD505-2E9C-101B-9397-08002B2CF9AE}" pid="40" name="ContentTypeId">
    <vt:lpwstr>0x0101008840106FE30D4F50BC61A726A7CA6E3800E1233F0D2B295E4182BDF5E5F773E67B</vt:lpwstr>
  </property>
  <property fmtid="{D5CDD505-2E9C-101B-9397-08002B2CF9AE}" pid="41" name="RecordPoint_WorkflowType">
    <vt:lpwstr>ActiveSubmitStub</vt:lpwstr>
  </property>
  <property fmtid="{D5CDD505-2E9C-101B-9397-08002B2CF9AE}" pid="42" name="DET_EDRMS_BusUnit">
    <vt:lpwstr/>
  </property>
  <property fmtid="{D5CDD505-2E9C-101B-9397-08002B2CF9AE}" pid="43" name="DET_EDRMS_SecClass">
    <vt:lpwstr/>
  </property>
  <property fmtid="{D5CDD505-2E9C-101B-9397-08002B2CF9AE}" pid="44" name="RecordPoint_ActiveItemUniqueId">
    <vt:lpwstr>{8ff7bcec-e58b-4b05-814f-e85317765b07}</vt:lpwstr>
  </property>
  <property fmtid="{D5CDD505-2E9C-101B-9397-08002B2CF9AE}" pid="45" name="RecordPoint_ActiveItemWebId">
    <vt:lpwstr>{923ecd8e-e4ef-4af9-8b2d-b5f819924efc}</vt:lpwstr>
  </property>
  <property fmtid="{D5CDD505-2E9C-101B-9397-08002B2CF9AE}" pid="46" name="RecordPoint_ActiveItemSiteId">
    <vt:lpwstr>{03dc8113-b288-4f44-a289-6e7ea0196235}</vt:lpwstr>
  </property>
  <property fmtid="{D5CDD505-2E9C-101B-9397-08002B2CF9AE}" pid="47" name="RecordPoint_ActiveItemListId">
    <vt:lpwstr>{a6f8559a-8828-42cb-bd12-a5e0fc62c0b6}</vt:lpwstr>
  </property>
  <property fmtid="{D5CDD505-2E9C-101B-9397-08002B2CF9AE}" pid="48" name="DET_EDRMS_RCS">
    <vt:lpwstr/>
  </property>
</Properties>
</file>